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183F8" w14:textId="77777777" w:rsidR="00000000" w:rsidRPr="005875F3" w:rsidRDefault="00000000" w:rsidP="005875F3">
      <w:pPr>
        <w:widowControl w:val="0"/>
        <w:spacing w:after="0" w:line="240" w:lineRule="auto"/>
        <w:ind w:leftChars="0" w:left="4" w:right="230" w:hanging="4"/>
        <w:jc w:val="both"/>
        <w:rPr>
          <w:rFonts w:ascii="Goudy Old Style" w:hAnsi="Goudy Old Style" w:cs="Times New Roman"/>
          <w:b/>
          <w:sz w:val="36"/>
          <w:szCs w:val="36"/>
        </w:rPr>
      </w:pPr>
      <w:r w:rsidRPr="005875F3">
        <w:rPr>
          <w:rFonts w:ascii="Goudy Old Style" w:hAnsi="Goudy Old Style" w:cs="Times New Roman"/>
          <w:b/>
          <w:sz w:val="36"/>
          <w:szCs w:val="36"/>
        </w:rPr>
        <w:t>A Novel Approach for Predicting Diabetic Readmissions Using Feature Selection and Optimization Techniques</w:t>
      </w:r>
    </w:p>
    <w:p w14:paraId="6E00A352" w14:textId="77777777" w:rsidR="00000000" w:rsidRPr="005875F3" w:rsidRDefault="00000000" w:rsidP="005875F3">
      <w:pPr>
        <w:widowControl w:val="0"/>
        <w:spacing w:after="0" w:line="240" w:lineRule="auto"/>
        <w:ind w:leftChars="0" w:left="2" w:right="230" w:hanging="2"/>
        <w:jc w:val="both"/>
        <w:rPr>
          <w:rFonts w:ascii="Goudy Old Style" w:hAnsi="Goudy Old Style" w:cs="Times New Roman"/>
          <w:b/>
        </w:rPr>
        <w:sectPr w:rsidR="00000000" w:rsidRPr="005875F3" w:rsidSect="00C8000D">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284" w:footer="720" w:gutter="0"/>
          <w:pgNumType w:start="2956"/>
          <w:cols w:space="720"/>
        </w:sectPr>
      </w:pPr>
    </w:p>
    <w:p w14:paraId="29868603" w14:textId="3E66438C" w:rsidR="00000000" w:rsidRPr="005875F3" w:rsidRDefault="00000000" w:rsidP="00C8000D">
      <w:pPr>
        <w:spacing w:beforeLines="50" w:before="120" w:afterLines="50" w:after="120" w:line="240" w:lineRule="auto"/>
        <w:ind w:leftChars="0" w:left="2" w:hanging="2"/>
        <w:jc w:val="both"/>
        <w:rPr>
          <w:rFonts w:ascii="Goudy Old Style" w:hAnsi="Goudy Old Style" w:cs="Times New Roman"/>
          <w:b/>
          <w:vertAlign w:val="superscript"/>
        </w:rPr>
      </w:pPr>
      <w:r w:rsidRPr="005875F3">
        <w:rPr>
          <w:rFonts w:ascii="Goudy Old Style" w:hAnsi="Goudy Old Style" w:cs="Times New Roman"/>
          <w:b/>
          <w:bCs/>
          <w:spacing w:val="-1"/>
        </w:rPr>
        <w:t>P Venkata Kishan Rao</w:t>
      </w:r>
      <w:r w:rsidRPr="005875F3">
        <w:rPr>
          <w:rFonts w:ascii="Goudy Old Style" w:hAnsi="Goudy Old Style" w:cs="Times New Roman"/>
          <w:b/>
        </w:rPr>
        <w:t xml:space="preserve"> *, </w:t>
      </w:r>
      <w:r w:rsidRPr="005875F3">
        <w:rPr>
          <w:rFonts w:ascii="Goudy Old Style" w:eastAsia="SimSun" w:hAnsi="Goudy Old Style" w:cs="Times New Roman"/>
          <w:b/>
        </w:rPr>
        <w:t>Aarti</w:t>
      </w:r>
      <w:r w:rsidRPr="005875F3">
        <w:rPr>
          <w:rFonts w:ascii="Goudy Old Style" w:eastAsia="SimSun" w:hAnsi="Goudy Old Style" w:cs="Times New Roman"/>
          <w:b/>
          <w:vertAlign w:val="superscript"/>
        </w:rPr>
        <w:t>2</w:t>
      </w:r>
      <w:r w:rsidRPr="005875F3">
        <w:rPr>
          <w:rFonts w:ascii="Goudy Old Style" w:eastAsia="SimSun" w:hAnsi="Goudy Old Style" w:cs="Times New Roman"/>
          <w:b/>
        </w:rPr>
        <w:t>, A Suresh Rao</w:t>
      </w:r>
      <w:r w:rsidRPr="005875F3">
        <w:rPr>
          <w:rFonts w:ascii="Goudy Old Style" w:eastAsia="SimSun" w:hAnsi="Goudy Old Style" w:cs="Times New Roman"/>
          <w:b/>
          <w:vertAlign w:val="superscript"/>
        </w:rPr>
        <w:t>3</w:t>
      </w:r>
    </w:p>
    <w:p w14:paraId="28CFF96F" w14:textId="23243086" w:rsidR="00000000" w:rsidRPr="005875F3" w:rsidRDefault="00000000" w:rsidP="00C8000D">
      <w:pPr>
        <w:pStyle w:val="Heading1"/>
        <w:widowControl w:val="0"/>
        <w:autoSpaceDE w:val="0"/>
        <w:autoSpaceDN w:val="0"/>
        <w:spacing w:after="0" w:line="240" w:lineRule="auto"/>
        <w:ind w:leftChars="0" w:left="2" w:right="231" w:hanging="2"/>
        <w:jc w:val="both"/>
        <w:rPr>
          <w:rFonts w:ascii="Goudy Old Style" w:eastAsia="SimSun" w:hAnsi="Goudy Old Style"/>
        </w:rPr>
      </w:pPr>
      <w:r w:rsidRPr="005875F3">
        <w:rPr>
          <w:rFonts w:ascii="Goudy Old Style" w:eastAsia="SimSun" w:hAnsi="Goudy Old Style"/>
          <w:vertAlign w:val="superscript"/>
        </w:rPr>
        <w:t xml:space="preserve">1 </w:t>
      </w:r>
      <w:r w:rsidRPr="005875F3">
        <w:rPr>
          <w:rFonts w:ascii="Goudy Old Style" w:eastAsia="SimSun" w:hAnsi="Goudy Old Style"/>
        </w:rPr>
        <w:t>Reseacrh Scholar,</w:t>
      </w:r>
      <w:r w:rsidR="00C8000D">
        <w:rPr>
          <w:rFonts w:ascii="Goudy Old Style" w:eastAsia="SimSun" w:hAnsi="Goudy Old Style"/>
        </w:rPr>
        <w:t xml:space="preserve"> </w:t>
      </w:r>
      <w:r w:rsidRPr="005875F3">
        <w:rPr>
          <w:rFonts w:ascii="Goudy Old Style" w:eastAsia="SimSun" w:hAnsi="Goudy Old Style"/>
        </w:rPr>
        <w:t>Department of CSE, Lovely Professional University-Punjab, India.</w:t>
      </w:r>
    </w:p>
    <w:p w14:paraId="4DA0D0B8" w14:textId="77777777" w:rsidR="00000000" w:rsidRPr="005875F3" w:rsidRDefault="00000000" w:rsidP="005875F3">
      <w:pPr>
        <w:pStyle w:val="Heading1"/>
        <w:widowControl w:val="0"/>
        <w:autoSpaceDE w:val="0"/>
        <w:autoSpaceDN w:val="0"/>
        <w:spacing w:after="0" w:line="240" w:lineRule="auto"/>
        <w:ind w:leftChars="0" w:left="2" w:right="231" w:hanging="2"/>
        <w:jc w:val="both"/>
        <w:rPr>
          <w:rFonts w:ascii="Goudy Old Style" w:eastAsia="SimSun" w:hAnsi="Goudy Old Style"/>
        </w:rPr>
      </w:pPr>
      <w:r w:rsidRPr="005875F3">
        <w:rPr>
          <w:rFonts w:ascii="Goudy Old Style" w:eastAsia="SimSun" w:hAnsi="Goudy Old Style"/>
          <w:vertAlign w:val="superscript"/>
        </w:rPr>
        <w:t>2</w:t>
      </w:r>
      <w:r w:rsidRPr="005875F3">
        <w:rPr>
          <w:rFonts w:ascii="Goudy Old Style" w:eastAsia="SimSun" w:hAnsi="Goudy Old Style"/>
        </w:rPr>
        <w:t>Department of CSE, Lovely Professional University-Punjab, India.</w:t>
      </w:r>
    </w:p>
    <w:p w14:paraId="2D7401EE" w14:textId="77777777" w:rsidR="00000000" w:rsidRPr="005875F3" w:rsidRDefault="00000000" w:rsidP="005875F3">
      <w:pPr>
        <w:pStyle w:val="BodyText"/>
        <w:widowControl w:val="0"/>
        <w:autoSpaceDE w:val="0"/>
        <w:autoSpaceDN w:val="0"/>
        <w:spacing w:after="0" w:line="240" w:lineRule="auto"/>
        <w:ind w:leftChars="0" w:left="2" w:right="230" w:hanging="2"/>
        <w:rPr>
          <w:rFonts w:ascii="Goudy Old Style" w:hAnsi="Goudy Old Style"/>
          <w:sz w:val="22"/>
          <w:szCs w:val="22"/>
        </w:rPr>
      </w:pPr>
      <w:r w:rsidRPr="005875F3">
        <w:rPr>
          <w:rFonts w:ascii="Goudy Old Style" w:hAnsi="Goudy Old Style"/>
          <w:sz w:val="22"/>
          <w:szCs w:val="22"/>
          <w:vertAlign w:val="superscript"/>
        </w:rPr>
        <w:t>3</w:t>
      </w:r>
      <w:r w:rsidRPr="005875F3">
        <w:rPr>
          <w:rFonts w:ascii="Goudy Old Style" w:hAnsi="Goudy Old Style"/>
          <w:sz w:val="22"/>
          <w:szCs w:val="22"/>
        </w:rPr>
        <w:t>Professor, Department of CSE, TKR College of Engineering and Technology, Hyderabad, India</w:t>
      </w:r>
    </w:p>
    <w:p w14:paraId="567ACE31" w14:textId="0A4EA69D" w:rsidR="00000000" w:rsidRPr="005875F3" w:rsidRDefault="00000000" w:rsidP="005875F3">
      <w:pPr>
        <w:spacing w:after="0" w:line="240" w:lineRule="auto"/>
        <w:ind w:leftChars="0" w:left="2" w:hanging="2"/>
        <w:jc w:val="both"/>
        <w:rPr>
          <w:rFonts w:ascii="Goudy Old Style" w:hAnsi="Goudy Old Style" w:cs="Times New Roman"/>
          <w:bCs/>
          <w:vertAlign w:val="superscript"/>
        </w:rPr>
      </w:pPr>
      <w:r w:rsidRPr="005875F3">
        <w:rPr>
          <w:rFonts w:ascii="Goudy Old Style" w:hAnsi="Goudy Old Style" w:cs="Times New Roman"/>
          <w:bCs/>
        </w:rPr>
        <w:t xml:space="preserve">Email: </w:t>
      </w:r>
      <w:hyperlink r:id="rId13" w:history="1">
        <w:r w:rsidR="005875F3" w:rsidRPr="005875F3">
          <w:rPr>
            <w:rStyle w:val="Hyperlink"/>
            <w:rFonts w:ascii="Goudy Old Style" w:eastAsia="SimSun" w:hAnsi="Goudy Old Style" w:cs="Times New Roman"/>
            <w:bCs/>
            <w:color w:val="auto"/>
            <w:u w:val="none"/>
          </w:rPr>
          <w:t>pvkishanrao@gmail.com</w:t>
        </w:r>
        <w:r w:rsidR="005875F3" w:rsidRPr="005875F3">
          <w:rPr>
            <w:rStyle w:val="Hyperlink"/>
            <w:rFonts w:ascii="Goudy Old Style" w:eastAsia="SimSun" w:hAnsi="Goudy Old Style" w:cs="Times New Roman"/>
            <w:bCs/>
            <w:color w:val="auto"/>
            <w:u w:val="none"/>
            <w:vertAlign w:val="superscript"/>
          </w:rPr>
          <w:t>1</w:t>
        </w:r>
        <w:r w:rsidR="005875F3" w:rsidRPr="005875F3">
          <w:rPr>
            <w:rStyle w:val="Hyperlink"/>
            <w:rFonts w:ascii="Goudy Old Style" w:eastAsia="SimSun" w:hAnsi="Goudy Old Style" w:cs="Times New Roman"/>
            <w:bCs/>
            <w:color w:val="auto"/>
            <w:u w:val="none"/>
          </w:rPr>
          <w:t>,</w:t>
        </w:r>
      </w:hyperlink>
      <w:r w:rsidRPr="005875F3">
        <w:rPr>
          <w:rFonts w:ascii="Goudy Old Style" w:eastAsia="SimSun" w:hAnsi="Goudy Old Style" w:cs="Times New Roman"/>
          <w:bCs/>
        </w:rPr>
        <w:t xml:space="preserve"> </w:t>
      </w:r>
      <w:r w:rsidRPr="005875F3">
        <w:rPr>
          <w:rFonts w:ascii="Goudy Old Style" w:eastAsia="SimSun" w:hAnsi="Goudy Old Style"/>
          <w:bCs/>
        </w:rPr>
        <w:t>aarti.1208@gmail.com</w:t>
      </w:r>
      <w:r w:rsidR="005875F3" w:rsidRPr="005875F3">
        <w:rPr>
          <w:rFonts w:ascii="Goudy Old Style" w:eastAsia="SimSun" w:hAnsi="Goudy Old Style"/>
          <w:bCs/>
          <w:vertAlign w:val="superscript"/>
        </w:rPr>
        <w:t>2</w:t>
      </w:r>
      <w:r w:rsidRPr="005875F3">
        <w:rPr>
          <w:rFonts w:ascii="Goudy Old Style" w:eastAsia="SimSun" w:hAnsi="Goudy Old Style"/>
          <w:bCs/>
        </w:rPr>
        <w:t>, asr03hyd@gmail.com</w:t>
      </w:r>
      <w:r w:rsidR="005875F3" w:rsidRPr="005875F3">
        <w:rPr>
          <w:rFonts w:ascii="Goudy Old Style" w:eastAsia="SimSun" w:hAnsi="Goudy Old Style"/>
          <w:bCs/>
          <w:vertAlign w:val="superscript"/>
        </w:rPr>
        <w:t>3</w:t>
      </w:r>
    </w:p>
    <w:p w14:paraId="1D48D193" w14:textId="77777777" w:rsidR="005875F3" w:rsidRDefault="005875F3" w:rsidP="005875F3">
      <w:pPr>
        <w:spacing w:after="0" w:line="240" w:lineRule="auto"/>
        <w:ind w:leftChars="0" w:left="2" w:hanging="2"/>
        <w:jc w:val="both"/>
        <w:rPr>
          <w:rFonts w:ascii="Goudy Old Style" w:eastAsia="Times New Roman" w:hAnsi="Goudy Old Style" w:cs="Times New Roman"/>
          <w:b/>
        </w:rPr>
      </w:pPr>
    </w:p>
    <w:p w14:paraId="4045199F" w14:textId="20E571BB" w:rsidR="00000000" w:rsidRPr="005875F3" w:rsidRDefault="00000000" w:rsidP="005875F3">
      <w:pPr>
        <w:pBdr>
          <w:top w:val="single" w:sz="4" w:space="1" w:color="auto"/>
          <w:bottom w:val="single" w:sz="4" w:space="1" w:color="auto"/>
        </w:pBdr>
        <w:spacing w:after="0" w:line="240" w:lineRule="auto"/>
        <w:ind w:leftChars="0" w:left="2" w:hanging="2"/>
        <w:jc w:val="both"/>
        <w:rPr>
          <w:rFonts w:ascii="Goudy Old Style" w:eastAsia="Times New Roman" w:hAnsi="Goudy Old Style" w:cs="Times New Roman"/>
          <w:i/>
          <w:iCs/>
        </w:rPr>
      </w:pPr>
      <w:r w:rsidRPr="005875F3">
        <w:rPr>
          <w:rFonts w:ascii="Goudy Old Style" w:eastAsia="Times New Roman" w:hAnsi="Goudy Old Style" w:cs="Times New Roman"/>
          <w:b/>
          <w:i/>
          <w:iCs/>
        </w:rPr>
        <w:t>Abstract</w:t>
      </w:r>
    </w:p>
    <w:p w14:paraId="35F4D136" w14:textId="77777777" w:rsidR="00000000" w:rsidRPr="005875F3" w:rsidRDefault="00000000" w:rsidP="005875F3">
      <w:pPr>
        <w:pBdr>
          <w:top w:val="single" w:sz="4" w:space="1" w:color="auto"/>
          <w:bottom w:val="single" w:sz="4" w:space="1" w:color="auto"/>
        </w:pBdr>
        <w:spacing w:after="0" w:line="240" w:lineRule="auto"/>
        <w:ind w:leftChars="0" w:left="2" w:hanging="2"/>
        <w:jc w:val="both"/>
        <w:rPr>
          <w:rFonts w:ascii="Goudy Old Style" w:eastAsia="Times New Roman" w:hAnsi="Goudy Old Style" w:cs="Times New Roman"/>
          <w:i/>
          <w:iCs/>
        </w:rPr>
      </w:pPr>
      <w:r w:rsidRPr="005875F3">
        <w:rPr>
          <w:rFonts w:ascii="Goudy Old Style" w:eastAsia="Times New Roman" w:hAnsi="Goudy Old Style" w:cs="Times New Roman"/>
          <w:i/>
          <w:iCs/>
        </w:rPr>
        <w:t>Forecasting readmissions in diabetic patients is critical for developing patient services and healthcare systems. This work proposes a new classification model simplifying model building to predict patients' readmission risk stratified into short-term (up to 30 days) and long-term (beyond 30 days) cohorts. This model uses Grey Relational Analysis (GRA) for feature selection and utilizes Grey Wolf Optimization (GWO) to enhance model parameters for better accuracy. The UCI diabetic readmission dataset used contains clinical attributes including age, BMI, glucose and insulin levels, HbA1c, total cholesterol, triglycerides, and newer markers such as ‘new’ cholesterol and ‘new’ triglycerides. The study first applies GRA computing Grey Relational Coefficients GRC for every described feature concerning the readmission status. It then ranks features in terms of their contribution for the classification task to build a model. Then GWO optimizes the feature coefficients together with the discriminant coefficient which increases the model's predictive accuracy. The method proposed, which incorporates GRA for feature selection and GWO for model tuning outperformed the other classifiers that used GRA, achieving the highest accuracy of 98.6% when using a decision tree, and 97.3%, 97.6% with gradient boosting. The results show that GRA is effective in feature selection while GWO optimizes the classification model. The approach developed in the study for estimating the risks of diabetic readmissions is quite practical. Adding lifestyle factors, genetic indicators, and real-time data could enhance the model's adaptability to different scenarios, improving its utility in healthcare systems.</w:t>
      </w:r>
    </w:p>
    <w:p w14:paraId="0C0AE667" w14:textId="77777777" w:rsidR="00000000" w:rsidRPr="005875F3" w:rsidRDefault="00000000" w:rsidP="005875F3">
      <w:pPr>
        <w:pBdr>
          <w:top w:val="single" w:sz="4" w:space="1" w:color="auto"/>
          <w:bottom w:val="single" w:sz="4" w:space="1" w:color="auto"/>
        </w:pBdr>
        <w:spacing w:after="0" w:line="240" w:lineRule="auto"/>
        <w:ind w:leftChars="0" w:left="2" w:hanging="2"/>
        <w:jc w:val="both"/>
        <w:rPr>
          <w:rFonts w:ascii="Goudy Old Style" w:eastAsia="Times New Roman" w:hAnsi="Goudy Old Style" w:cs="Times New Roman"/>
          <w:i/>
          <w:iCs/>
        </w:rPr>
      </w:pPr>
      <w:r w:rsidRPr="005875F3">
        <w:rPr>
          <w:rFonts w:ascii="Goudy Old Style" w:eastAsia="Times New Roman" w:hAnsi="Goudy Old Style" w:cs="Times New Roman"/>
          <w:b/>
          <w:i/>
          <w:iCs/>
        </w:rPr>
        <w:t>Keywords:</w:t>
      </w:r>
      <w:r w:rsidRPr="005875F3">
        <w:rPr>
          <w:rFonts w:ascii="Goudy Old Style" w:eastAsia="Times New Roman" w:hAnsi="Goudy Old Style" w:cs="Times New Roman"/>
          <w:i/>
          <w:iCs/>
        </w:rPr>
        <w:t xml:space="preserve"> Diabetes, Readmission, Machine Learning, Feature Selection, Predictive Model, GRA</w:t>
      </w:r>
    </w:p>
    <w:p w14:paraId="5B870C00" w14:textId="77777777" w:rsidR="005875F3" w:rsidRDefault="005875F3" w:rsidP="005875F3">
      <w:pPr>
        <w:spacing w:after="0" w:line="240" w:lineRule="auto"/>
        <w:ind w:leftChars="0" w:left="2" w:hanging="2"/>
        <w:jc w:val="both"/>
        <w:rPr>
          <w:rFonts w:ascii="Goudy Old Style" w:eastAsia="Times New Roman" w:hAnsi="Goudy Old Style" w:cs="Times New Roman"/>
          <w:b/>
        </w:rPr>
      </w:pPr>
    </w:p>
    <w:p w14:paraId="1935B278" w14:textId="5FE9144B" w:rsidR="00000000" w:rsidRPr="005875F3" w:rsidRDefault="00000000" w:rsidP="005875F3">
      <w:pPr>
        <w:spacing w:after="0" w:line="240" w:lineRule="auto"/>
        <w:ind w:leftChars="0" w:left="2" w:hanging="2"/>
        <w:jc w:val="both"/>
        <w:rPr>
          <w:rFonts w:ascii="Goudy Old Style" w:eastAsia="Times New Roman" w:hAnsi="Goudy Old Style" w:cs="Times New Roman"/>
          <w:b/>
        </w:rPr>
      </w:pPr>
      <w:r w:rsidRPr="005875F3">
        <w:rPr>
          <w:rFonts w:ascii="Goudy Old Style" w:eastAsia="Times New Roman" w:hAnsi="Goudy Old Style" w:cs="Times New Roman"/>
          <w:b/>
        </w:rPr>
        <w:t xml:space="preserve">1 </w:t>
      </w:r>
      <w:r w:rsidR="005875F3" w:rsidRPr="005875F3">
        <w:rPr>
          <w:rFonts w:ascii="Goudy Old Style" w:eastAsia="Times New Roman" w:hAnsi="Goudy Old Style" w:cs="Times New Roman"/>
          <w:b/>
        </w:rPr>
        <w:t>INTRODUCTION</w:t>
      </w:r>
    </w:p>
    <w:p w14:paraId="3C0C7026"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Diabetes Mellitus, which rests as a chronic metabolism problem, is one of the world’s most worrisome health conditions and it covers millions of people around the globe. In the past few decades this has become more of a concern for the healthcare world. In the earlier years, diabetes was predominantly observed in older people, but now there is an alarming increase in new cases among the younger population. Many of today’s modern problems cause this such as technology, our lifestyles, and the easy access to junk food. Along with these problems, the escalating obesity rates further aggravate the situation by increasing the number of people suffering from diabetes across various populations, demonstrating the need to come up with prompt action to control and treat the issue [1].</w:t>
      </w:r>
    </w:p>
    <w:p w14:paraId="44373161"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main feature of diabetes is the inability of the body to control the concentration of glucose in the blood, leading to hyperglycemia. Broadly, these include Type 1 and Type 2 diabetes. Type 1 diabetes involves autoimmune pathology where the immunological system destroys the insulin-producing beta cells in the pancreas, resulting in total absence of insulin. On the other hand, Type 2 diabetes is usually associated with insulin resistance, where the body’s cells do not respond appropriately to insulin, and blood glucose levels rise. Both types of diabetes are identified by blood glucose levels above 11.1 mol/L together with some symptoms such as excessive thirst (polydipsia), increased urination (polyuria), and loss of weight [2].</w:t>
      </w:r>
    </w:p>
    <w:p w14:paraId="146E2C55"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 xml:space="preserve">The consequences of diabetes, particularly when inadequately managed, can lead to life-altering outcomes such as stroke, cardiovascular diseases, heart attacks, kidney failure, peripheral arterial diseases, and </w:t>
      </w:r>
      <w:r w:rsidRPr="005875F3">
        <w:rPr>
          <w:rFonts w:ascii="Goudy Old Style" w:eastAsia="Times New Roman" w:hAnsi="Goudy Old Style" w:cs="Times New Roman"/>
        </w:rPr>
        <w:lastRenderedPageBreak/>
        <w:t>neuropathy—representing a myriad of complications. There is also the possibility of vision loss, amputations, and accelerated amputations if diabetes goes untreated. These factors, combined, underscore the need for prompt diagnosis and efficient management [3][4]. The global prevalence of diabetes is expected to increase twofold by 2030, even if the rate of obesity remains unchanged. This unnerving forecast is a result of an aging populace, rapid urbanization, and skyrocketing obesity rates, escalating the prevalence of diabetes to pandemic levels—calling for immediate action [5].</w:t>
      </w:r>
    </w:p>
    <w:p w14:paraId="61A78767"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Obesity has become a common epidemic in both the developing and developed nations, and it is a major contributor to the increase in the number of people suffering from Type 2 diabetes. Diabetes, being a health concern that arises primarily due to obesity, needs to undergo Transformative public health measures along with lifestyle changes in order to slow its growth. Prevention can be attained by encouraging engagement in helpful physical activities, nutritional health, as well as an increase in diabetes, which enables individuals to maintain a normal weight (healthy body weight), which enhances their overall health and lifestyle. Along with lifestyle changes, the ending of smoking and other unhealthy practices could greatly improve these individuals’ chances of diabetes. In terms of people with diabetes, early diagnosis followed by good control, especially among patients with ‘insulin-dependent diabetes’ or those likely to complicate with retinopathy, relieves a lot of burden from the disease [6][7].</w:t>
      </w:r>
    </w:p>
    <w:p w14:paraId="7302620A"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effective management of diabetes entails a rigorous approach that includes constant monitoring, control via prescribed medications, and lifestyle modifications aimed at maintaining optimal blood glucose levels. Effective management of the condition can avert vascular complications and slow the progression of the disease. An effective management plan for diabetes must include measures aimed at controlling the common comorbid conditions of hypertension, dyslipidemia, and obesity. Furthermore, patients need continuous guidance and support to remain adherent to treatment plans through the different stages of the disease [8].</w:t>
      </w:r>
    </w:p>
    <w:p w14:paraId="3D7821DA"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influence of big data on managing diabetes care is profound and stems from the rapid growth of data technology in recent years. Big data in healthcare is known as the accumulation, assessment, and understanding of the vast medical information from sources like electronic health records (EHRs), clinical notes, and even sensor data. The collection of data on this scale combined with sophisticated techniques enhances prediction accuracy and streamlines healthcare processes. Traditional software tools, however, encounter difficulty with large-scale data sets, but this challenge can be resolved with machine learning (ML) and other data analytical techniques [9].These analytic technologies have demonstrated significant abilities in aiding the making and executing of clinical decisions as well as in reframing the entire patient care process for better outcomes, especially when dealing with long-term medical conditions such as diabetes [10].</w:t>
      </w:r>
    </w:p>
    <w:p w14:paraId="44B78ABA"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strain and disruption to the conventional healthcare system from the COVID-19 pandemic is another encouraging sub reason for the initiating the applied use of algorithms, machine learning, and artificial intelligence (AI). Nowadays, machine learning and artificial intelligence are being researched and applied globally across multiple domains of health to assess and predict the probability of a certain disease or its complications. For example, algorithms that predict the complications of diabetes, retinopathy, nephropathy, and cardiovascular disease, or predicting readmissions in patients with diabetes during specific intervals have been implemented successfully. Machine learning models have proven to accurately predict the readmission of diabetic patients, thus optimizing resource allocation and reducing strain on the healthcare system [11]. Some researchers argue that the developing algorithms and technologies of machine learning are of assistance in diagnostic algorithms, tailoring treatment to the individual patient, and optimizing the interventions and technologies used for each specific case [12].</w:t>
      </w:r>
    </w:p>
    <w:p w14:paraId="5051D5F0"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 xml:space="preserve">The use of AI and ML technologies in healthcare has become a global phenomenon as institutions try to improve the performance and quality of services offered in the medical care health system. These technologies are being utilized for numerous purposes including disease diagnosis, prediction of patient </w:t>
      </w:r>
      <w:r w:rsidRPr="005875F3">
        <w:rPr>
          <w:rFonts w:ascii="Goudy Old Style" w:eastAsia="Times New Roman" w:hAnsi="Goudy Old Style" w:cs="Times New Roman"/>
        </w:rPr>
        <w:lastRenderedPageBreak/>
        <w:t>readmission, and formulation of treatment strategies for complicated health disorders. The application of AI in the healthcare system is not restricted to clinical diagnosis and treatment; it also includes non-clinical areas such as appointments scheduling, logistics, resource allocation, and workflow enhancement. Such technologies will continue to advance to allow for improved precision and timeliness in the healthcare decision-making processes [13].</w:t>
      </w:r>
    </w:p>
    <w:p w14:paraId="2359254D"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This research targets improving medical diagnostics by evaluating new feature selection and optimization techniques for enhancing diabetes prediction models. The most novel aspect of this work is the application of a combination of filter and wrapper feature selection methods to capture relevant features from four diabetes datasets. This research also attempted a value analysis approach to identify dataset attributes that significantly contribute to diabetes risk. Such analysis aims to refine risk assessment models. This research also analyzes the performance of various feature selection methods and ensemble learning models on diabetes prediction tasks. The use of SHAP and LIME, as XAI techniques, helps validate the reasoning provided by machine learning models to clinicians and make sure it is articulated using plain language. This is essential for building confidence in AI systems, as well as for integrating them into everyday clinical practice [14].</w:t>
      </w:r>
    </w:p>
    <w:p w14:paraId="2DF8ADDA" w14:textId="77777777" w:rsidR="00000000"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refinement of models using feature selection for prediction of diabetes optimizes the accuracy of such models and facilitates the decision-making processes of healthcare professionals. This study aims to increase the appreciation of AI use in the clinic by improving model interpretability through Explainable AI, which in turn is anticipated to optimize clinical outcomes and efficiency within the healthcare system.</w:t>
      </w:r>
    </w:p>
    <w:p w14:paraId="687E7EF4" w14:textId="77777777" w:rsidR="005875F3" w:rsidRPr="005875F3" w:rsidRDefault="005875F3" w:rsidP="005875F3">
      <w:pPr>
        <w:spacing w:after="0" w:line="240" w:lineRule="auto"/>
        <w:ind w:leftChars="0" w:left="2" w:hanging="2"/>
        <w:jc w:val="both"/>
        <w:rPr>
          <w:rFonts w:ascii="Goudy Old Style" w:eastAsia="Times New Roman" w:hAnsi="Goudy Old Style" w:cs="Times New Roman"/>
        </w:rPr>
      </w:pPr>
    </w:p>
    <w:p w14:paraId="3832447C" w14:textId="42790C9B" w:rsidR="00000000" w:rsidRPr="005875F3" w:rsidRDefault="005875F3" w:rsidP="005875F3">
      <w:pPr>
        <w:spacing w:after="0" w:line="240" w:lineRule="auto"/>
        <w:ind w:leftChars="0" w:left="2" w:hanging="2"/>
        <w:jc w:val="both"/>
        <w:rPr>
          <w:rFonts w:ascii="Goudy Old Style" w:eastAsia="Times New Roman" w:hAnsi="Goudy Old Style" w:cs="Times New Roman"/>
          <w:b/>
        </w:rPr>
      </w:pPr>
      <w:r w:rsidRPr="005875F3">
        <w:rPr>
          <w:rFonts w:ascii="Goudy Old Style" w:eastAsia="Times New Roman" w:hAnsi="Goudy Old Style" w:cs="Times New Roman"/>
          <w:b/>
        </w:rPr>
        <w:t>2. LITERATURE REVIEW</w:t>
      </w:r>
    </w:p>
    <w:p w14:paraId="7B7A1D0A"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Hospital readmission of diabetic patients is one of the fields of concern in healthcare today since it will determine its timely intervention and useful resource distribution. Hospital readmissions are also regarded as a major measure of healthcare quality especially in chronic conditions such as diabetes where the condition has to be monitored at all times. By predicting such readmissions, they can be identified beforehand and the healthcare systems able to commit their resources on such patients to eliminate costly avoidable readmissions. Machine learning (ML) and deep learning (DL) implementation in predicting diabetic readmissions mark a paradigm change in the way the healthcare providers deal with chronic diseases. Such predictive model is able to promote better patient outcomes as it enables intervention in the form of an early intervention and a more tailored approach.</w:t>
      </w:r>
    </w:p>
    <w:p w14:paraId="16B8FA3A"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Dixit et al. (2023) used an ensemble of classifiers consisting of the Random Forest, Gradient Boosting, and Support Vector Machines (SVM) to predict readmissions in diabetic patients. Their analysis reported an Area Under the Receiver Operating Characteristic Curve (AUROC) of 0.78 which demonstrates the effectiveness of ensemble techniques in gaining higher prediction decisions. Ensemble models are quite helpful in prediction when compared to a complex scenario like diabetic readmission prediction since they integrate several individual models into a single model to boost the confidence of predictions. This paper is representative of how machine learning can assist clinical decision-making, minimize inappropriate utilization of hospitals and optimize the use of resources, which is necessary to demonstrate an efficient management of diabetes in changing healthcare systems [15].</w:t>
      </w:r>
    </w:p>
    <w:p w14:paraId="516444A2"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 xml:space="preserve">Use of machine learning in the health care networks, especially with respect to chronic illnesses such as diabetes has been of great concern. The models can assist healthcare providers in recognizing potential high-risk patients, which will make health care services intervene properly and avoid readmission. This will lower the entire costs of health care. Nonetheless, one of the greatest challenges of healthcare machine learning methodologies is discussed by Antoniadi et al. (2021), which is accounted to interpretability and explainability. Although they are correct, such models may lack transparency in their decision-making procedures that may jeopardize trust among healthcare providers. Antoniadi et al. (2021) declare that Explainable Artificial Intelligence (XAI) plays a vital role in allowing healthcare practitioners to trust and </w:t>
      </w:r>
      <w:r w:rsidRPr="005875F3">
        <w:rPr>
          <w:rFonts w:ascii="Goudy Old Style" w:eastAsia="Times New Roman" w:hAnsi="Goudy Old Style" w:cs="Times New Roman"/>
        </w:rPr>
        <w:lastRenderedPageBreak/>
        <w:t>comprehend the machine learning forecasts. This is especially critical in the clinical scenarios, where decisions on healthcare choices must be founded not only on the forecast, but also on the clear and conspicuous argumentation to the forecasts [16].</w:t>
      </w:r>
    </w:p>
    <w:p w14:paraId="0EA9D239"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Nusinovici et al. (2020) compared algorithms in machine learning and traditional statistical models (logistic regression) in their paper written to predict chronic diseases including diabetes. They found a close performance between the logistic regression models and those of higher complexity machine learning models, and it shows that traditional modelling approaches have not become irrelevant in the machine learning age. Nusinovici et al. (2020) reiterated that although machine learning has great predictive potential, the models should be adjusted to a particular task. The conclusion of the study is that the older statistical model is something that should not be rejected but taken into objection along with the machine learning model, especially in a scenario where the given data could be more inclined to the simple methods [17].</w:t>
      </w:r>
    </w:p>
    <w:p w14:paraId="23F2803E"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Khan et al. (2019) and Hossain et al. (2020) presented the research that predicts cardiovascular diseases in patients with Type 2 diabetes by the application of network analytics and predictive models of risks. In their researches, they had emphasized on the increasing application of machine learning to diabetes care and in the management of other chronic diseases, such as cardiovascular disease. They were equally insistent that feature selection is important in enhancing performance of the model. Applying feature selection to large dimensional data sets massively improves the predictive capabilities of model-based machine learning and in particular, Support Vector Machines (SVM). The contribution of their work to the understanding of risk factors related to chronic diseases was the importance of integrating machine learning and network analytics to discover risk factors related to cardiovascular-related conditions and diabetes [18].</w:t>
      </w:r>
    </w:p>
    <w:p w14:paraId="292E9275"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The utilization of Long Short-Term Memory (LSTM) networks as one of the deep learning models in hospital readmission prediction has, in the past few years, increased exponentially. In contrast to the traditional machine learning models, LSTMs are able to work with sequential data, which is very important in identifying such occurrences as hospital admissions, making LSTM suitable in predicting the hospital readmission. LSTMs are especially apt at recognizing long-term interdependencies in the data, which explains why they are efficient in complex tasks such as predicting readmissions when the data of the patient has a big role to play. Compared to other machine learning models, LSTM networks have been found to perform better in diabetes management since they use large, complicated data to capture the temporal feature of patient data to enhance their accuracy in making predictions [19].</w:t>
      </w:r>
    </w:p>
    <w:p w14:paraId="7AB5545D"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Ramrez and Herrera (2019) tried to apply machine learning to the prediction of readmissions of diabetic patients. Their research proved that machine learning has a much greater potential to minimize readmission rates and facilitate the better decision of healthcare resources. In determining the patients at high risk of readmission, the healthcare providers can intervene at an earlier stage thus avoiding costly hospitalization. This paper demonstrates the efficiency of machine learning in refining the healthcare system so that the resources could be utilized to the best extent possible and the patients could be provided with care as soon as possible [20].</w:t>
      </w:r>
    </w:p>
    <w:p w14:paraId="19726707"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Hasan et al. (2020) used different ensemble machine learning models to classify the presence of diabetes and heart disease risk. Their study supported that ensemble technique, like boosting and bagging, is effective in boosting the model prediction of chronic diseases. The methods contribute to overfitting reduction and the predictive model robustness, allowing healthcare experts to rely more on risk assessments. These ensemble techniques allow better predictions, and thus could maximize healthcare interventions, known to improve patient outcomes and lead to less overall burden on healthcare systems [21].</w:t>
      </w:r>
    </w:p>
    <w:p w14:paraId="54E7391B"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 xml:space="preserve">Ganie and Malik (2022a) used supervised machine learning to predict Type 2 diabetes using different machine learning algorithms and found that Random Forest and Gradient Boosting had the highest performance compared to other algorithms such as Naive Bayes and K-Nearest Neighbors- Random Forest </w:t>
      </w:r>
      <w:r w:rsidRPr="005875F3">
        <w:rPr>
          <w:rFonts w:ascii="Goudy Old Style" w:eastAsia="Times New Roman" w:hAnsi="Goudy Old Style" w:cs="Times New Roman"/>
        </w:rPr>
        <w:lastRenderedPageBreak/>
        <w:t>performed at an accuracy of 84.6%. The paper shows how potent certain machine learning algorithms can be in healthcare, especially when predicting non-communicable illnesses such as diabetes. Also, Ganie and Malik (2022b) proposed an ensemble model to predict Type 2 diabetes on the basis of lifestyle indicators, demonstrating the increased prediction accuracy capabilities of several models in unison. They have optimized the model by means of feature selection algorithms such as the Grey Wolf Optimizer (GWO) to resolve issues of large volume of data and inefficiencies during computing. The said optimization procedure guarantees that the models lay focus on the most pertinent features to enhance their aptitude of prediction and effectiveness [22, 23].</w:t>
      </w:r>
    </w:p>
    <w:p w14:paraId="4586982D"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Ganie et al. (2022a) extended their investigation further by investigating the prediction and performance analysis of Type 2 diabetes based on lifestyle data with the use of machine learning. They showed the efficacy of machine learning models in predicting diabetes based on the lifestyle factors or the abilities of diabetes management, e.g., diet and exercise. With these factors included in predictive models, the healthcare providers will be able to understand more clearly how their lifestyle affects their risk of developing diabetes and be able to intervene and prevent the development of diabetes and subsequent readmission [24].</w:t>
      </w:r>
    </w:p>
    <w:p w14:paraId="5788C83E"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Ganie et al. (2022b) performed a comparison using machine learning methods of possible diagnoses based on life-style data in Type 2 diabetes. Their study proved the power of machine learning to enhance the quality of diagnosis due to the integration of diverse lifestyle factors, which is why data-driven methods of predicting diseases need to be introduced. With such strides in machine learning, practitioners in the healthcare field will find it easy to detect individuals who are on the threshold of developing diabetes, through which early interventions may lead to the prevention of the ongoing development of the disease [25].</w:t>
      </w:r>
    </w:p>
    <w:p w14:paraId="3576E0D2"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Another study by Ganie et al. (2023) evidences the applicability of ensemble methods and prediction of a broad spectrum of chronic ailments by carrying out an enhanced technique of ensembles learning of cardiovascular illnesses with the help of solidifying routines. The study also found out that the boosting algorithms are especially effective in the prediction of heart disease and supports the notion that more intense machine learning algorithms can be adjusted to suit other forms of diseases such as diabetes and cardiovascular ailments. It was also noted in the study that the machine learning models should be finely tuned in terms of maximizing their performance where the machine should make the predictions as accurate as possible [26].</w:t>
      </w:r>
    </w:p>
    <w:p w14:paraId="2C9B9A27" w14:textId="77777777" w:rsidR="00000000" w:rsidRDefault="00000000" w:rsidP="005875F3">
      <w:pPr>
        <w:spacing w:after="0" w:line="240" w:lineRule="auto"/>
        <w:ind w:leftChars="0" w:left="2" w:hanging="2"/>
        <w:jc w:val="both"/>
        <w:outlineLvl w:val="2"/>
        <w:rPr>
          <w:rFonts w:ascii="Goudy Old Style" w:eastAsia="Times New Roman" w:hAnsi="Goudy Old Style" w:cs="Times New Roman"/>
        </w:rPr>
      </w:pPr>
      <w:r w:rsidRPr="005875F3">
        <w:rPr>
          <w:rFonts w:ascii="Goudy Old Style" w:eastAsia="Times New Roman" w:hAnsi="Goudy Old Style" w:cs="Times New Roman"/>
        </w:rPr>
        <w:t>Overall, artificial intelligence, as it applies to the prediction of diabetic readmission, is a relevant breakthrough in human medicine, especially when dealing with chronic diseases. Through these models, healthcare professionals are able to predict high-risk patients early so that interventions can be effected on the patients to remedy the situation, decrease readmissions and minimize healthcare expenditure. Further developments in machine learning such as ensemble learning, deep learning such as LSTM and optimization mechanisms such as feature selection will also help to improve the accuracy of healthcare systems. It is believed that these innovations will enhance the process of healthcare by making it more efficient, acclaimed, and oriented to patient-based care.</w:t>
      </w:r>
    </w:p>
    <w:p w14:paraId="54515BE2" w14:textId="77777777" w:rsidR="005875F3" w:rsidRPr="005875F3" w:rsidRDefault="005875F3" w:rsidP="005875F3">
      <w:pPr>
        <w:spacing w:after="0" w:line="240" w:lineRule="auto"/>
        <w:ind w:leftChars="0" w:left="2" w:hanging="2"/>
        <w:jc w:val="both"/>
        <w:outlineLvl w:val="2"/>
        <w:rPr>
          <w:rFonts w:ascii="Goudy Old Style" w:eastAsia="Times New Roman" w:hAnsi="Goudy Old Style" w:cs="Times New Roman"/>
        </w:rPr>
      </w:pPr>
    </w:p>
    <w:p w14:paraId="6875970B" w14:textId="1337BF2A"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b/>
          <w:bCs/>
        </w:rPr>
      </w:pPr>
      <w:r w:rsidRPr="005875F3">
        <w:rPr>
          <w:rFonts w:ascii="Goudy Old Style" w:eastAsia="Times New Roman" w:hAnsi="Goudy Old Style" w:cs="Times New Roman"/>
          <w:b/>
          <w:bCs/>
        </w:rPr>
        <w:t xml:space="preserve">3. </w:t>
      </w:r>
      <w:r w:rsidR="005875F3" w:rsidRPr="005875F3">
        <w:rPr>
          <w:rFonts w:ascii="Goudy Old Style" w:eastAsia="Times New Roman" w:hAnsi="Goudy Old Style" w:cs="Times New Roman"/>
          <w:b/>
          <w:bCs/>
        </w:rPr>
        <w:t>PROPOSED METHODOLOGY</w:t>
      </w:r>
    </w:p>
    <w:p w14:paraId="023068C7"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This paper seeks to execute an effective and precise classification model in order to foresee the readmissions of diabetic individuals. The aim is to find out whether the readmission is categorized as short term (within 30 days) or long term (after 30 days) based on clinical data. The methodology suggested in the text takes advantage of classification done by Grey Relational Analysis (GRA) and model optimization using Grey Wolf Optimization (GWO) in order to achieve higher accuracy. In this direction, the process will entail data collection and preprocessing, feature selection, model classification and optimization and a final comparison of the results to baseline traditional classifier benchmarks.</w:t>
      </w:r>
    </w:p>
    <w:p w14:paraId="16303D5D" w14:textId="02382292" w:rsidR="00000000" w:rsidRPr="005875F3" w:rsidRDefault="00C8000D"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noProof/>
        </w:rPr>
        <w:lastRenderedPageBreak/>
        <w:drawing>
          <wp:inline distT="0" distB="0" distL="0" distR="0" wp14:anchorId="5C39F6F2" wp14:editId="56652B3A">
            <wp:extent cx="3870960" cy="374904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0960" cy="3749040"/>
                    </a:xfrm>
                    <a:prstGeom prst="rect">
                      <a:avLst/>
                    </a:prstGeom>
                    <a:noFill/>
                    <a:ln>
                      <a:noFill/>
                    </a:ln>
                  </pic:spPr>
                </pic:pic>
              </a:graphicData>
            </a:graphic>
          </wp:inline>
        </w:drawing>
      </w:r>
    </w:p>
    <w:p w14:paraId="53AECC90"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b/>
          <w:bCs/>
        </w:rPr>
      </w:pPr>
      <w:r w:rsidRPr="005875F3">
        <w:rPr>
          <w:rFonts w:ascii="Goudy Old Style" w:hAnsi="Goudy Old Style" w:cs="Times New Roman"/>
          <w:b/>
        </w:rPr>
        <w:t>Figure 1:</w:t>
      </w:r>
      <w:r w:rsidRPr="005875F3">
        <w:rPr>
          <w:rFonts w:ascii="Goudy Old Style" w:hAnsi="Goudy Old Style" w:cs="Times New Roman"/>
        </w:rPr>
        <w:t xml:space="preserve"> Workflow of Predictive Modeling for Diabetic Readmissions</w:t>
      </w:r>
    </w:p>
    <w:p w14:paraId="73EA8E7F"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b/>
          <w:bCs/>
        </w:rPr>
      </w:pPr>
      <w:r w:rsidRPr="005875F3">
        <w:rPr>
          <w:rFonts w:ascii="Goudy Old Style" w:eastAsia="Times New Roman" w:hAnsi="Goudy Old Style" w:cs="Times New Roman"/>
          <w:b/>
          <w:bCs/>
        </w:rPr>
        <w:t>3.1 Data Collection and Dataset Overview</w:t>
      </w:r>
    </w:p>
    <w:p w14:paraId="08698458"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Capturing a classification dataset is the initial step of the proposed methodology. In this case, the model is built on the backbone of UCI Diabetic Readmission Dataset. The dataset is context rich containing variety of demographic information such as Age, sex, and medical history alongside other vital health indicators like Body Mass Index (BMI), glucose levels, insulin, HbA1c, cholesterol, and triglycerides. Furthermore, the dataset includes newer indicator variables like new cholesterol (new-Chol) and new triglycerides (new-TG). The mentioned features are essential because they depict patient's health and are necessary for readiness for predicting readmission.</w:t>
      </w:r>
    </w:p>
    <w:p w14:paraId="5306CE27"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In addition, the dataset captures the label information for a patient being readmitted to the hospital in 30 days (short-term) or later than 30 days (long-term). Thus, the model can learn to differentiate between short-term and long-term readmission. Such labels are critical for model training and classification since they represent patterns toward readmission and distinguish between short-term and long-term readmissions.</w:t>
      </w:r>
    </w:p>
    <w:p w14:paraId="471F921F"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b/>
        </w:rPr>
        <w:t>Table 1:</w:t>
      </w:r>
      <w:r w:rsidRPr="005875F3">
        <w:rPr>
          <w:rFonts w:ascii="Goudy Old Style" w:hAnsi="Goudy Old Style" w:cs="Times New Roman"/>
        </w:rPr>
        <w:t xml:space="preserve"> Sample dataset clinical data</w:t>
      </w:r>
    </w:p>
    <w:tbl>
      <w:tblPr>
        <w:tblW w:w="8769" w:type="dxa"/>
        <w:jc w:val="center"/>
        <w:tblInd w:w="0" w:type="dxa"/>
        <w:tblLook w:val="0000" w:firstRow="0" w:lastRow="0" w:firstColumn="0" w:lastColumn="0" w:noHBand="0" w:noVBand="0"/>
      </w:tblPr>
      <w:tblGrid>
        <w:gridCol w:w="600"/>
        <w:gridCol w:w="637"/>
        <w:gridCol w:w="650"/>
        <w:gridCol w:w="926"/>
        <w:gridCol w:w="858"/>
        <w:gridCol w:w="854"/>
        <w:gridCol w:w="1241"/>
        <w:gridCol w:w="1365"/>
        <w:gridCol w:w="1638"/>
      </w:tblGrid>
      <w:tr w:rsidR="00000000" w:rsidRPr="005875F3" w14:paraId="51EFE97C" w14:textId="77777777">
        <w:trPr>
          <w:trHeight w:val="480"/>
          <w:jc w:val="center"/>
        </w:trPr>
        <w:tc>
          <w:tcPr>
            <w:tcW w:w="566" w:type="dxa"/>
            <w:tcBorders>
              <w:top w:val="single" w:sz="4" w:space="0" w:color="auto"/>
              <w:left w:val="single" w:sz="4" w:space="0" w:color="auto"/>
              <w:bottom w:val="single" w:sz="4" w:space="0" w:color="auto"/>
              <w:right w:val="single" w:sz="4" w:space="0" w:color="auto"/>
            </w:tcBorders>
            <w:vAlign w:val="center"/>
          </w:tcPr>
          <w:p w14:paraId="213594F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Age</w:t>
            </w:r>
          </w:p>
        </w:tc>
        <w:tc>
          <w:tcPr>
            <w:tcW w:w="616" w:type="dxa"/>
            <w:tcBorders>
              <w:top w:val="single" w:sz="4" w:space="0" w:color="auto"/>
              <w:left w:val="nil"/>
              <w:bottom w:val="single" w:sz="4" w:space="0" w:color="auto"/>
              <w:right w:val="single" w:sz="4" w:space="0" w:color="auto"/>
            </w:tcBorders>
            <w:vAlign w:val="center"/>
          </w:tcPr>
          <w:p w14:paraId="1F9FA7B0"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BMI</w:t>
            </w:r>
          </w:p>
        </w:tc>
        <w:tc>
          <w:tcPr>
            <w:tcW w:w="639" w:type="dxa"/>
            <w:tcBorders>
              <w:top w:val="single" w:sz="4" w:space="0" w:color="auto"/>
              <w:left w:val="nil"/>
              <w:bottom w:val="single" w:sz="4" w:space="0" w:color="auto"/>
              <w:right w:val="single" w:sz="4" w:space="0" w:color="auto"/>
            </w:tcBorders>
            <w:vAlign w:val="center"/>
          </w:tcPr>
          <w:p w14:paraId="4AF0BF0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GMI</w:t>
            </w:r>
          </w:p>
        </w:tc>
        <w:tc>
          <w:tcPr>
            <w:tcW w:w="894" w:type="dxa"/>
            <w:tcBorders>
              <w:top w:val="single" w:sz="4" w:space="0" w:color="auto"/>
              <w:left w:val="nil"/>
              <w:bottom w:val="single" w:sz="4" w:space="0" w:color="auto"/>
              <w:right w:val="single" w:sz="4" w:space="0" w:color="auto"/>
            </w:tcBorders>
            <w:vAlign w:val="center"/>
          </w:tcPr>
          <w:p w14:paraId="10DCB92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Glucose</w:t>
            </w:r>
          </w:p>
        </w:tc>
        <w:tc>
          <w:tcPr>
            <w:tcW w:w="817" w:type="dxa"/>
            <w:tcBorders>
              <w:top w:val="single" w:sz="4" w:space="0" w:color="auto"/>
              <w:left w:val="nil"/>
              <w:bottom w:val="single" w:sz="4" w:space="0" w:color="auto"/>
              <w:right w:val="single" w:sz="4" w:space="0" w:color="auto"/>
            </w:tcBorders>
            <w:vAlign w:val="center"/>
          </w:tcPr>
          <w:p w14:paraId="7EB79F39"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Insulin</w:t>
            </w:r>
          </w:p>
        </w:tc>
        <w:tc>
          <w:tcPr>
            <w:tcW w:w="816" w:type="dxa"/>
            <w:tcBorders>
              <w:top w:val="single" w:sz="4" w:space="0" w:color="auto"/>
              <w:left w:val="nil"/>
              <w:bottom w:val="single" w:sz="4" w:space="0" w:color="auto"/>
              <w:right w:val="single" w:sz="4" w:space="0" w:color="auto"/>
            </w:tcBorders>
            <w:vAlign w:val="center"/>
          </w:tcPr>
          <w:p w14:paraId="6564454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HbA1c</w:t>
            </w:r>
          </w:p>
        </w:tc>
        <w:tc>
          <w:tcPr>
            <w:tcW w:w="1194" w:type="dxa"/>
            <w:tcBorders>
              <w:top w:val="single" w:sz="4" w:space="0" w:color="auto"/>
              <w:left w:val="nil"/>
              <w:bottom w:val="single" w:sz="4" w:space="0" w:color="auto"/>
              <w:right w:val="single" w:sz="4" w:space="0" w:color="auto"/>
            </w:tcBorders>
            <w:vAlign w:val="center"/>
          </w:tcPr>
          <w:p w14:paraId="52C32430"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Cholesterol</w:t>
            </w:r>
          </w:p>
        </w:tc>
        <w:tc>
          <w:tcPr>
            <w:tcW w:w="1350" w:type="dxa"/>
            <w:tcBorders>
              <w:top w:val="single" w:sz="4" w:space="0" w:color="auto"/>
              <w:left w:val="nil"/>
              <w:bottom w:val="single" w:sz="4" w:space="0" w:color="auto"/>
              <w:right w:val="single" w:sz="4" w:space="0" w:color="auto"/>
            </w:tcBorders>
            <w:vAlign w:val="center"/>
          </w:tcPr>
          <w:p w14:paraId="23502C64"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Triglycerides</w:t>
            </w:r>
          </w:p>
        </w:tc>
        <w:tc>
          <w:tcPr>
            <w:tcW w:w="1877" w:type="dxa"/>
            <w:tcBorders>
              <w:top w:val="single" w:sz="4" w:space="0" w:color="auto"/>
              <w:left w:val="nil"/>
              <w:bottom w:val="single" w:sz="4" w:space="0" w:color="auto"/>
              <w:right w:val="single" w:sz="4" w:space="0" w:color="auto"/>
            </w:tcBorders>
            <w:vAlign w:val="center"/>
          </w:tcPr>
          <w:p w14:paraId="55C3C1D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color w:val="000000"/>
                <w:position w:val="0"/>
              </w:rPr>
            </w:pPr>
            <w:r w:rsidRPr="005875F3">
              <w:rPr>
                <w:rFonts w:ascii="Goudy Old Style" w:eastAsia="Times New Roman" w:hAnsi="Goudy Old Style" w:cs="Times New Roman"/>
                <w:b/>
                <w:bCs/>
                <w:color w:val="000000"/>
                <w:position w:val="0"/>
              </w:rPr>
              <w:t>New Triglycerides</w:t>
            </w:r>
          </w:p>
        </w:tc>
      </w:tr>
      <w:tr w:rsidR="00000000" w:rsidRPr="005875F3" w14:paraId="70AB0F66"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7BDD237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56</w:t>
            </w:r>
          </w:p>
        </w:tc>
        <w:tc>
          <w:tcPr>
            <w:tcW w:w="616" w:type="dxa"/>
            <w:tcBorders>
              <w:top w:val="nil"/>
              <w:left w:val="nil"/>
              <w:bottom w:val="single" w:sz="4" w:space="0" w:color="auto"/>
              <w:right w:val="single" w:sz="4" w:space="0" w:color="auto"/>
            </w:tcBorders>
            <w:vAlign w:val="bottom"/>
          </w:tcPr>
          <w:p w14:paraId="6DA6A23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28.3</w:t>
            </w:r>
          </w:p>
        </w:tc>
        <w:tc>
          <w:tcPr>
            <w:tcW w:w="639" w:type="dxa"/>
            <w:tcBorders>
              <w:top w:val="nil"/>
              <w:left w:val="nil"/>
              <w:bottom w:val="single" w:sz="4" w:space="0" w:color="auto"/>
              <w:right w:val="single" w:sz="4" w:space="0" w:color="auto"/>
            </w:tcBorders>
            <w:vAlign w:val="bottom"/>
          </w:tcPr>
          <w:p w14:paraId="2CAACA8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28.3</w:t>
            </w:r>
          </w:p>
        </w:tc>
        <w:tc>
          <w:tcPr>
            <w:tcW w:w="894" w:type="dxa"/>
            <w:tcBorders>
              <w:top w:val="nil"/>
              <w:left w:val="nil"/>
              <w:bottom w:val="single" w:sz="4" w:space="0" w:color="auto"/>
              <w:right w:val="single" w:sz="4" w:space="0" w:color="auto"/>
            </w:tcBorders>
            <w:vAlign w:val="bottom"/>
          </w:tcPr>
          <w:p w14:paraId="2F27E10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150</w:t>
            </w:r>
          </w:p>
        </w:tc>
        <w:tc>
          <w:tcPr>
            <w:tcW w:w="817" w:type="dxa"/>
            <w:tcBorders>
              <w:top w:val="nil"/>
              <w:left w:val="nil"/>
              <w:bottom w:val="single" w:sz="4" w:space="0" w:color="auto"/>
              <w:right w:val="single" w:sz="4" w:space="0" w:color="auto"/>
            </w:tcBorders>
            <w:vAlign w:val="bottom"/>
          </w:tcPr>
          <w:p w14:paraId="27F0906D"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7.2</w:t>
            </w:r>
          </w:p>
        </w:tc>
        <w:tc>
          <w:tcPr>
            <w:tcW w:w="816" w:type="dxa"/>
            <w:tcBorders>
              <w:top w:val="nil"/>
              <w:left w:val="nil"/>
              <w:bottom w:val="single" w:sz="4" w:space="0" w:color="auto"/>
              <w:right w:val="single" w:sz="4" w:space="0" w:color="auto"/>
            </w:tcBorders>
            <w:vAlign w:val="bottom"/>
          </w:tcPr>
          <w:p w14:paraId="52E178F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7.2</w:t>
            </w:r>
          </w:p>
        </w:tc>
        <w:tc>
          <w:tcPr>
            <w:tcW w:w="1194" w:type="dxa"/>
            <w:tcBorders>
              <w:top w:val="nil"/>
              <w:left w:val="nil"/>
              <w:bottom w:val="single" w:sz="4" w:space="0" w:color="auto"/>
              <w:right w:val="single" w:sz="4" w:space="0" w:color="auto"/>
            </w:tcBorders>
            <w:vAlign w:val="bottom"/>
          </w:tcPr>
          <w:p w14:paraId="2EEB887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350" w:type="dxa"/>
            <w:tcBorders>
              <w:top w:val="nil"/>
              <w:left w:val="nil"/>
              <w:bottom w:val="single" w:sz="4" w:space="0" w:color="auto"/>
              <w:right w:val="single" w:sz="4" w:space="0" w:color="auto"/>
            </w:tcBorders>
            <w:vAlign w:val="bottom"/>
          </w:tcPr>
          <w:p w14:paraId="1CDFB93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160</w:t>
            </w:r>
          </w:p>
        </w:tc>
        <w:tc>
          <w:tcPr>
            <w:tcW w:w="1877" w:type="dxa"/>
            <w:tcBorders>
              <w:top w:val="nil"/>
              <w:left w:val="nil"/>
              <w:bottom w:val="single" w:sz="4" w:space="0" w:color="auto"/>
              <w:right w:val="single" w:sz="4" w:space="0" w:color="auto"/>
            </w:tcBorders>
            <w:vAlign w:val="bottom"/>
          </w:tcPr>
          <w:p w14:paraId="4DD14759"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Short-term</w:t>
            </w:r>
          </w:p>
        </w:tc>
      </w:tr>
      <w:tr w:rsidR="00000000" w:rsidRPr="005875F3" w14:paraId="0009314A"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6D7AB5B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62</w:t>
            </w:r>
          </w:p>
        </w:tc>
        <w:tc>
          <w:tcPr>
            <w:tcW w:w="616" w:type="dxa"/>
            <w:tcBorders>
              <w:top w:val="nil"/>
              <w:left w:val="nil"/>
              <w:bottom w:val="single" w:sz="4" w:space="0" w:color="auto"/>
              <w:right w:val="single" w:sz="4" w:space="0" w:color="auto"/>
            </w:tcBorders>
            <w:vAlign w:val="bottom"/>
          </w:tcPr>
          <w:p w14:paraId="179AECE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32.1</w:t>
            </w:r>
          </w:p>
        </w:tc>
        <w:tc>
          <w:tcPr>
            <w:tcW w:w="639" w:type="dxa"/>
            <w:tcBorders>
              <w:top w:val="nil"/>
              <w:left w:val="nil"/>
              <w:bottom w:val="single" w:sz="4" w:space="0" w:color="auto"/>
              <w:right w:val="single" w:sz="4" w:space="0" w:color="auto"/>
            </w:tcBorders>
            <w:vAlign w:val="bottom"/>
          </w:tcPr>
          <w:p w14:paraId="2D7F1A4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32.1</w:t>
            </w:r>
          </w:p>
        </w:tc>
        <w:tc>
          <w:tcPr>
            <w:tcW w:w="894" w:type="dxa"/>
            <w:tcBorders>
              <w:top w:val="nil"/>
              <w:left w:val="nil"/>
              <w:bottom w:val="single" w:sz="4" w:space="0" w:color="auto"/>
              <w:right w:val="single" w:sz="4" w:space="0" w:color="auto"/>
            </w:tcBorders>
            <w:vAlign w:val="bottom"/>
          </w:tcPr>
          <w:p w14:paraId="00201720"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145</w:t>
            </w:r>
          </w:p>
        </w:tc>
        <w:tc>
          <w:tcPr>
            <w:tcW w:w="817" w:type="dxa"/>
            <w:tcBorders>
              <w:top w:val="nil"/>
              <w:left w:val="nil"/>
              <w:bottom w:val="single" w:sz="4" w:space="0" w:color="auto"/>
              <w:right w:val="single" w:sz="4" w:space="0" w:color="auto"/>
            </w:tcBorders>
            <w:vAlign w:val="bottom"/>
          </w:tcPr>
          <w:p w14:paraId="6A23C75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92</w:t>
            </w:r>
          </w:p>
        </w:tc>
        <w:tc>
          <w:tcPr>
            <w:tcW w:w="816" w:type="dxa"/>
            <w:tcBorders>
              <w:top w:val="nil"/>
              <w:left w:val="nil"/>
              <w:bottom w:val="single" w:sz="4" w:space="0" w:color="auto"/>
              <w:right w:val="single" w:sz="4" w:space="0" w:color="auto"/>
            </w:tcBorders>
            <w:vAlign w:val="bottom"/>
          </w:tcPr>
          <w:p w14:paraId="79A4497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6.5</w:t>
            </w:r>
          </w:p>
        </w:tc>
        <w:tc>
          <w:tcPr>
            <w:tcW w:w="1194" w:type="dxa"/>
            <w:tcBorders>
              <w:top w:val="nil"/>
              <w:left w:val="nil"/>
              <w:bottom w:val="single" w:sz="4" w:space="0" w:color="auto"/>
              <w:right w:val="single" w:sz="4" w:space="0" w:color="auto"/>
            </w:tcBorders>
            <w:vAlign w:val="bottom"/>
          </w:tcPr>
          <w:p w14:paraId="2EA2A30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240</w:t>
            </w:r>
          </w:p>
        </w:tc>
        <w:tc>
          <w:tcPr>
            <w:tcW w:w="1350" w:type="dxa"/>
            <w:tcBorders>
              <w:top w:val="nil"/>
              <w:left w:val="nil"/>
              <w:bottom w:val="single" w:sz="4" w:space="0" w:color="auto"/>
              <w:right w:val="single" w:sz="4" w:space="0" w:color="auto"/>
            </w:tcBorders>
            <w:vAlign w:val="bottom"/>
          </w:tcPr>
          <w:p w14:paraId="305462A9"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185</w:t>
            </w:r>
          </w:p>
        </w:tc>
        <w:tc>
          <w:tcPr>
            <w:tcW w:w="1877" w:type="dxa"/>
            <w:tcBorders>
              <w:top w:val="nil"/>
              <w:left w:val="nil"/>
              <w:bottom w:val="single" w:sz="4" w:space="0" w:color="auto"/>
              <w:right w:val="single" w:sz="4" w:space="0" w:color="auto"/>
            </w:tcBorders>
            <w:vAlign w:val="bottom"/>
          </w:tcPr>
          <w:p w14:paraId="3059CC8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Long-term</w:t>
            </w:r>
          </w:p>
        </w:tc>
      </w:tr>
      <w:tr w:rsidR="00000000" w:rsidRPr="005875F3" w14:paraId="5170A75E"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7BB4A53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62</w:t>
            </w:r>
          </w:p>
        </w:tc>
        <w:tc>
          <w:tcPr>
            <w:tcW w:w="616" w:type="dxa"/>
            <w:tcBorders>
              <w:top w:val="nil"/>
              <w:left w:val="nil"/>
              <w:bottom w:val="single" w:sz="4" w:space="0" w:color="auto"/>
              <w:right w:val="single" w:sz="4" w:space="0" w:color="auto"/>
            </w:tcBorders>
            <w:vAlign w:val="bottom"/>
          </w:tcPr>
          <w:p w14:paraId="5C333E2B"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31.5</w:t>
            </w:r>
          </w:p>
        </w:tc>
        <w:tc>
          <w:tcPr>
            <w:tcW w:w="639" w:type="dxa"/>
            <w:tcBorders>
              <w:top w:val="nil"/>
              <w:left w:val="nil"/>
              <w:bottom w:val="single" w:sz="4" w:space="0" w:color="auto"/>
              <w:right w:val="single" w:sz="4" w:space="0" w:color="auto"/>
            </w:tcBorders>
            <w:vAlign w:val="bottom"/>
          </w:tcPr>
          <w:p w14:paraId="34E4E39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32.1</w:t>
            </w:r>
          </w:p>
        </w:tc>
        <w:tc>
          <w:tcPr>
            <w:tcW w:w="894" w:type="dxa"/>
            <w:tcBorders>
              <w:top w:val="nil"/>
              <w:left w:val="nil"/>
              <w:bottom w:val="single" w:sz="4" w:space="0" w:color="auto"/>
              <w:right w:val="single" w:sz="4" w:space="0" w:color="auto"/>
            </w:tcBorders>
            <w:vAlign w:val="bottom"/>
          </w:tcPr>
          <w:p w14:paraId="4BFC0E3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165</w:t>
            </w:r>
          </w:p>
        </w:tc>
        <w:tc>
          <w:tcPr>
            <w:tcW w:w="817" w:type="dxa"/>
            <w:tcBorders>
              <w:top w:val="nil"/>
              <w:left w:val="nil"/>
              <w:bottom w:val="single" w:sz="4" w:space="0" w:color="auto"/>
              <w:right w:val="single" w:sz="4" w:space="0" w:color="auto"/>
            </w:tcBorders>
            <w:vAlign w:val="bottom"/>
          </w:tcPr>
          <w:p w14:paraId="1FBB3A1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92</w:t>
            </w:r>
          </w:p>
        </w:tc>
        <w:tc>
          <w:tcPr>
            <w:tcW w:w="816" w:type="dxa"/>
            <w:tcBorders>
              <w:top w:val="nil"/>
              <w:left w:val="nil"/>
              <w:bottom w:val="single" w:sz="4" w:space="0" w:color="auto"/>
              <w:right w:val="single" w:sz="4" w:space="0" w:color="auto"/>
            </w:tcBorders>
            <w:vAlign w:val="bottom"/>
          </w:tcPr>
          <w:p w14:paraId="6CAF53F9"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7.1</w:t>
            </w:r>
          </w:p>
        </w:tc>
        <w:tc>
          <w:tcPr>
            <w:tcW w:w="1194" w:type="dxa"/>
            <w:tcBorders>
              <w:top w:val="nil"/>
              <w:left w:val="nil"/>
              <w:bottom w:val="single" w:sz="4" w:space="0" w:color="auto"/>
              <w:right w:val="single" w:sz="4" w:space="0" w:color="auto"/>
            </w:tcBorders>
            <w:vAlign w:val="bottom"/>
          </w:tcPr>
          <w:p w14:paraId="1D35615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230</w:t>
            </w:r>
          </w:p>
        </w:tc>
        <w:tc>
          <w:tcPr>
            <w:tcW w:w="1350" w:type="dxa"/>
            <w:tcBorders>
              <w:top w:val="nil"/>
              <w:left w:val="nil"/>
              <w:bottom w:val="single" w:sz="4" w:space="0" w:color="auto"/>
              <w:right w:val="single" w:sz="4" w:space="0" w:color="auto"/>
            </w:tcBorders>
            <w:vAlign w:val="bottom"/>
          </w:tcPr>
          <w:p w14:paraId="23E3C6A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877" w:type="dxa"/>
            <w:tcBorders>
              <w:top w:val="nil"/>
              <w:left w:val="nil"/>
              <w:bottom w:val="single" w:sz="4" w:space="0" w:color="auto"/>
              <w:right w:val="single" w:sz="4" w:space="0" w:color="auto"/>
            </w:tcBorders>
            <w:vAlign w:val="bottom"/>
          </w:tcPr>
          <w:p w14:paraId="7449E204"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Short-term</w:t>
            </w:r>
          </w:p>
        </w:tc>
      </w:tr>
      <w:tr w:rsidR="00000000" w:rsidRPr="005875F3" w14:paraId="0FBA9A5C"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69D19AF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w:t>
            </w:r>
          </w:p>
        </w:tc>
        <w:tc>
          <w:tcPr>
            <w:tcW w:w="616" w:type="dxa"/>
            <w:tcBorders>
              <w:top w:val="nil"/>
              <w:left w:val="nil"/>
              <w:bottom w:val="single" w:sz="4" w:space="0" w:color="auto"/>
              <w:right w:val="single" w:sz="4" w:space="0" w:color="auto"/>
            </w:tcBorders>
            <w:vAlign w:val="bottom"/>
          </w:tcPr>
          <w:p w14:paraId="2933AD9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32.1</w:t>
            </w:r>
          </w:p>
        </w:tc>
        <w:tc>
          <w:tcPr>
            <w:tcW w:w="639" w:type="dxa"/>
            <w:tcBorders>
              <w:top w:val="nil"/>
              <w:left w:val="nil"/>
              <w:bottom w:val="single" w:sz="4" w:space="0" w:color="auto"/>
              <w:right w:val="single" w:sz="4" w:space="0" w:color="auto"/>
            </w:tcBorders>
            <w:vAlign w:val="bottom"/>
          </w:tcPr>
          <w:p w14:paraId="3E97068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31.5</w:t>
            </w:r>
          </w:p>
        </w:tc>
        <w:tc>
          <w:tcPr>
            <w:tcW w:w="894" w:type="dxa"/>
            <w:tcBorders>
              <w:top w:val="nil"/>
              <w:left w:val="nil"/>
              <w:bottom w:val="single" w:sz="4" w:space="0" w:color="auto"/>
              <w:right w:val="single" w:sz="4" w:space="0" w:color="auto"/>
            </w:tcBorders>
            <w:vAlign w:val="bottom"/>
          </w:tcPr>
          <w:p w14:paraId="42E1EA8B"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160</w:t>
            </w:r>
          </w:p>
        </w:tc>
        <w:tc>
          <w:tcPr>
            <w:tcW w:w="817" w:type="dxa"/>
            <w:tcBorders>
              <w:top w:val="nil"/>
              <w:left w:val="nil"/>
              <w:bottom w:val="single" w:sz="4" w:space="0" w:color="auto"/>
              <w:right w:val="single" w:sz="4" w:space="0" w:color="auto"/>
            </w:tcBorders>
            <w:vAlign w:val="bottom"/>
          </w:tcPr>
          <w:p w14:paraId="6FEFA23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92</w:t>
            </w:r>
          </w:p>
        </w:tc>
        <w:tc>
          <w:tcPr>
            <w:tcW w:w="816" w:type="dxa"/>
            <w:tcBorders>
              <w:top w:val="nil"/>
              <w:left w:val="nil"/>
              <w:bottom w:val="single" w:sz="4" w:space="0" w:color="auto"/>
              <w:right w:val="single" w:sz="4" w:space="0" w:color="auto"/>
            </w:tcBorders>
            <w:vAlign w:val="bottom"/>
          </w:tcPr>
          <w:p w14:paraId="57303D3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6.5</w:t>
            </w:r>
          </w:p>
        </w:tc>
        <w:tc>
          <w:tcPr>
            <w:tcW w:w="1194" w:type="dxa"/>
            <w:tcBorders>
              <w:top w:val="nil"/>
              <w:left w:val="nil"/>
              <w:bottom w:val="single" w:sz="4" w:space="0" w:color="auto"/>
              <w:right w:val="single" w:sz="4" w:space="0" w:color="auto"/>
            </w:tcBorders>
            <w:vAlign w:val="bottom"/>
          </w:tcPr>
          <w:p w14:paraId="70A9BB1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350" w:type="dxa"/>
            <w:tcBorders>
              <w:top w:val="nil"/>
              <w:left w:val="nil"/>
              <w:bottom w:val="single" w:sz="4" w:space="0" w:color="auto"/>
              <w:right w:val="single" w:sz="4" w:space="0" w:color="auto"/>
            </w:tcBorders>
            <w:vAlign w:val="bottom"/>
          </w:tcPr>
          <w:p w14:paraId="3A7BB6E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240</w:t>
            </w:r>
          </w:p>
        </w:tc>
        <w:tc>
          <w:tcPr>
            <w:tcW w:w="1877" w:type="dxa"/>
            <w:tcBorders>
              <w:top w:val="nil"/>
              <w:left w:val="nil"/>
              <w:bottom w:val="single" w:sz="4" w:space="0" w:color="auto"/>
              <w:right w:val="single" w:sz="4" w:space="0" w:color="auto"/>
            </w:tcBorders>
            <w:vAlign w:val="bottom"/>
          </w:tcPr>
          <w:p w14:paraId="3724897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Long-term</w:t>
            </w:r>
          </w:p>
        </w:tc>
      </w:tr>
      <w:tr w:rsidR="00000000" w:rsidRPr="005875F3" w14:paraId="5B1C5D99"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04C0862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w:t>
            </w:r>
          </w:p>
        </w:tc>
        <w:tc>
          <w:tcPr>
            <w:tcW w:w="616" w:type="dxa"/>
            <w:tcBorders>
              <w:top w:val="nil"/>
              <w:left w:val="nil"/>
              <w:bottom w:val="single" w:sz="4" w:space="0" w:color="auto"/>
              <w:right w:val="single" w:sz="4" w:space="0" w:color="auto"/>
            </w:tcBorders>
            <w:vAlign w:val="bottom"/>
          </w:tcPr>
          <w:p w14:paraId="68E6572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31.1</w:t>
            </w:r>
          </w:p>
        </w:tc>
        <w:tc>
          <w:tcPr>
            <w:tcW w:w="639" w:type="dxa"/>
            <w:tcBorders>
              <w:top w:val="nil"/>
              <w:left w:val="nil"/>
              <w:bottom w:val="single" w:sz="4" w:space="0" w:color="auto"/>
              <w:right w:val="single" w:sz="4" w:space="0" w:color="auto"/>
            </w:tcBorders>
            <w:vAlign w:val="bottom"/>
          </w:tcPr>
          <w:p w14:paraId="67A9A790"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33.4</w:t>
            </w:r>
          </w:p>
        </w:tc>
        <w:tc>
          <w:tcPr>
            <w:tcW w:w="894" w:type="dxa"/>
            <w:tcBorders>
              <w:top w:val="nil"/>
              <w:left w:val="nil"/>
              <w:bottom w:val="single" w:sz="4" w:space="0" w:color="auto"/>
              <w:right w:val="single" w:sz="4" w:space="0" w:color="auto"/>
            </w:tcBorders>
            <w:vAlign w:val="bottom"/>
          </w:tcPr>
          <w:p w14:paraId="728E34F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145</w:t>
            </w:r>
          </w:p>
        </w:tc>
        <w:tc>
          <w:tcPr>
            <w:tcW w:w="817" w:type="dxa"/>
            <w:tcBorders>
              <w:top w:val="nil"/>
              <w:left w:val="nil"/>
              <w:bottom w:val="single" w:sz="4" w:space="0" w:color="auto"/>
              <w:right w:val="single" w:sz="4" w:space="0" w:color="auto"/>
            </w:tcBorders>
            <w:vAlign w:val="bottom"/>
          </w:tcPr>
          <w:p w14:paraId="54922ED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90</w:t>
            </w:r>
          </w:p>
        </w:tc>
        <w:tc>
          <w:tcPr>
            <w:tcW w:w="816" w:type="dxa"/>
            <w:tcBorders>
              <w:top w:val="nil"/>
              <w:left w:val="nil"/>
              <w:bottom w:val="single" w:sz="4" w:space="0" w:color="auto"/>
              <w:right w:val="single" w:sz="4" w:space="0" w:color="auto"/>
            </w:tcBorders>
            <w:vAlign w:val="bottom"/>
          </w:tcPr>
          <w:p w14:paraId="071C8D0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7.1</w:t>
            </w:r>
          </w:p>
        </w:tc>
        <w:tc>
          <w:tcPr>
            <w:tcW w:w="1194" w:type="dxa"/>
            <w:tcBorders>
              <w:top w:val="nil"/>
              <w:left w:val="nil"/>
              <w:bottom w:val="single" w:sz="4" w:space="0" w:color="auto"/>
              <w:right w:val="single" w:sz="4" w:space="0" w:color="auto"/>
            </w:tcBorders>
            <w:vAlign w:val="bottom"/>
          </w:tcPr>
          <w:p w14:paraId="6D5A4C7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230</w:t>
            </w:r>
          </w:p>
        </w:tc>
        <w:tc>
          <w:tcPr>
            <w:tcW w:w="1350" w:type="dxa"/>
            <w:tcBorders>
              <w:top w:val="nil"/>
              <w:left w:val="nil"/>
              <w:bottom w:val="single" w:sz="4" w:space="0" w:color="auto"/>
              <w:right w:val="single" w:sz="4" w:space="0" w:color="auto"/>
            </w:tcBorders>
            <w:vAlign w:val="bottom"/>
          </w:tcPr>
          <w:p w14:paraId="3C341054"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877" w:type="dxa"/>
            <w:tcBorders>
              <w:top w:val="nil"/>
              <w:left w:val="nil"/>
              <w:bottom w:val="single" w:sz="4" w:space="0" w:color="auto"/>
              <w:right w:val="single" w:sz="4" w:space="0" w:color="auto"/>
            </w:tcBorders>
            <w:vAlign w:val="bottom"/>
          </w:tcPr>
          <w:p w14:paraId="346328A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Short-term</w:t>
            </w:r>
          </w:p>
        </w:tc>
      </w:tr>
      <w:tr w:rsidR="00000000" w:rsidRPr="005875F3" w14:paraId="1B6090FD"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6A3F8DD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31.5</w:t>
            </w:r>
          </w:p>
        </w:tc>
        <w:tc>
          <w:tcPr>
            <w:tcW w:w="616" w:type="dxa"/>
            <w:tcBorders>
              <w:top w:val="nil"/>
              <w:left w:val="nil"/>
              <w:bottom w:val="single" w:sz="4" w:space="0" w:color="auto"/>
              <w:right w:val="single" w:sz="4" w:space="0" w:color="auto"/>
            </w:tcBorders>
            <w:vAlign w:val="bottom"/>
          </w:tcPr>
          <w:p w14:paraId="2332954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32.1</w:t>
            </w:r>
          </w:p>
        </w:tc>
        <w:tc>
          <w:tcPr>
            <w:tcW w:w="639" w:type="dxa"/>
            <w:tcBorders>
              <w:top w:val="nil"/>
              <w:left w:val="nil"/>
              <w:bottom w:val="single" w:sz="4" w:space="0" w:color="auto"/>
              <w:right w:val="single" w:sz="4" w:space="0" w:color="auto"/>
            </w:tcBorders>
            <w:vAlign w:val="bottom"/>
          </w:tcPr>
          <w:p w14:paraId="66969D6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31.5</w:t>
            </w:r>
          </w:p>
        </w:tc>
        <w:tc>
          <w:tcPr>
            <w:tcW w:w="894" w:type="dxa"/>
            <w:tcBorders>
              <w:top w:val="nil"/>
              <w:left w:val="nil"/>
              <w:bottom w:val="single" w:sz="4" w:space="0" w:color="auto"/>
              <w:right w:val="single" w:sz="4" w:space="0" w:color="auto"/>
            </w:tcBorders>
            <w:vAlign w:val="bottom"/>
          </w:tcPr>
          <w:p w14:paraId="3B20C6D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145</w:t>
            </w:r>
          </w:p>
        </w:tc>
        <w:tc>
          <w:tcPr>
            <w:tcW w:w="817" w:type="dxa"/>
            <w:tcBorders>
              <w:top w:val="nil"/>
              <w:left w:val="nil"/>
              <w:bottom w:val="single" w:sz="4" w:space="0" w:color="auto"/>
              <w:right w:val="single" w:sz="4" w:space="0" w:color="auto"/>
            </w:tcBorders>
            <w:vAlign w:val="bottom"/>
          </w:tcPr>
          <w:p w14:paraId="7378105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7.1</w:t>
            </w:r>
          </w:p>
        </w:tc>
        <w:tc>
          <w:tcPr>
            <w:tcW w:w="816" w:type="dxa"/>
            <w:tcBorders>
              <w:top w:val="nil"/>
              <w:left w:val="nil"/>
              <w:bottom w:val="single" w:sz="4" w:space="0" w:color="auto"/>
              <w:right w:val="single" w:sz="4" w:space="0" w:color="auto"/>
            </w:tcBorders>
            <w:vAlign w:val="bottom"/>
          </w:tcPr>
          <w:p w14:paraId="6017162B"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8.3</w:t>
            </w:r>
          </w:p>
        </w:tc>
        <w:tc>
          <w:tcPr>
            <w:tcW w:w="1194" w:type="dxa"/>
            <w:tcBorders>
              <w:top w:val="nil"/>
              <w:left w:val="nil"/>
              <w:bottom w:val="single" w:sz="4" w:space="0" w:color="auto"/>
              <w:right w:val="single" w:sz="4" w:space="0" w:color="auto"/>
            </w:tcBorders>
            <w:vAlign w:val="bottom"/>
          </w:tcPr>
          <w:p w14:paraId="70BA5D8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230</w:t>
            </w:r>
          </w:p>
        </w:tc>
        <w:tc>
          <w:tcPr>
            <w:tcW w:w="1350" w:type="dxa"/>
            <w:tcBorders>
              <w:top w:val="nil"/>
              <w:left w:val="nil"/>
              <w:bottom w:val="single" w:sz="4" w:space="0" w:color="auto"/>
              <w:right w:val="single" w:sz="4" w:space="0" w:color="auto"/>
            </w:tcBorders>
            <w:vAlign w:val="bottom"/>
          </w:tcPr>
          <w:p w14:paraId="38A362E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230</w:t>
            </w:r>
          </w:p>
        </w:tc>
        <w:tc>
          <w:tcPr>
            <w:tcW w:w="1877" w:type="dxa"/>
            <w:tcBorders>
              <w:top w:val="nil"/>
              <w:left w:val="nil"/>
              <w:bottom w:val="single" w:sz="4" w:space="0" w:color="auto"/>
              <w:right w:val="single" w:sz="4" w:space="0" w:color="auto"/>
            </w:tcBorders>
            <w:vAlign w:val="bottom"/>
          </w:tcPr>
          <w:p w14:paraId="6F15335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Long-term</w:t>
            </w:r>
          </w:p>
        </w:tc>
      </w:tr>
      <w:tr w:rsidR="00000000" w:rsidRPr="005875F3" w14:paraId="13AF7DB1"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62A70CDB"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31.5</w:t>
            </w:r>
          </w:p>
        </w:tc>
        <w:tc>
          <w:tcPr>
            <w:tcW w:w="616" w:type="dxa"/>
            <w:tcBorders>
              <w:top w:val="nil"/>
              <w:left w:val="nil"/>
              <w:bottom w:val="single" w:sz="4" w:space="0" w:color="auto"/>
              <w:right w:val="single" w:sz="4" w:space="0" w:color="auto"/>
            </w:tcBorders>
            <w:vAlign w:val="bottom"/>
          </w:tcPr>
          <w:p w14:paraId="3DA50A5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31.5</w:t>
            </w:r>
          </w:p>
        </w:tc>
        <w:tc>
          <w:tcPr>
            <w:tcW w:w="639" w:type="dxa"/>
            <w:tcBorders>
              <w:top w:val="nil"/>
              <w:left w:val="nil"/>
              <w:bottom w:val="single" w:sz="4" w:space="0" w:color="auto"/>
              <w:right w:val="single" w:sz="4" w:space="0" w:color="auto"/>
            </w:tcBorders>
            <w:vAlign w:val="bottom"/>
          </w:tcPr>
          <w:p w14:paraId="7F89C0A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32.1</w:t>
            </w:r>
          </w:p>
        </w:tc>
        <w:tc>
          <w:tcPr>
            <w:tcW w:w="894" w:type="dxa"/>
            <w:tcBorders>
              <w:top w:val="nil"/>
              <w:left w:val="nil"/>
              <w:bottom w:val="single" w:sz="4" w:space="0" w:color="auto"/>
              <w:right w:val="single" w:sz="4" w:space="0" w:color="auto"/>
            </w:tcBorders>
            <w:vAlign w:val="bottom"/>
          </w:tcPr>
          <w:p w14:paraId="62B1CBB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150</w:t>
            </w:r>
          </w:p>
        </w:tc>
        <w:tc>
          <w:tcPr>
            <w:tcW w:w="817" w:type="dxa"/>
            <w:tcBorders>
              <w:top w:val="nil"/>
              <w:left w:val="nil"/>
              <w:bottom w:val="single" w:sz="4" w:space="0" w:color="auto"/>
              <w:right w:val="single" w:sz="4" w:space="0" w:color="auto"/>
            </w:tcBorders>
            <w:vAlign w:val="bottom"/>
          </w:tcPr>
          <w:p w14:paraId="59E04880"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95</w:t>
            </w:r>
          </w:p>
        </w:tc>
        <w:tc>
          <w:tcPr>
            <w:tcW w:w="816" w:type="dxa"/>
            <w:tcBorders>
              <w:top w:val="nil"/>
              <w:left w:val="nil"/>
              <w:bottom w:val="single" w:sz="4" w:space="0" w:color="auto"/>
              <w:right w:val="single" w:sz="4" w:space="0" w:color="auto"/>
            </w:tcBorders>
            <w:vAlign w:val="bottom"/>
          </w:tcPr>
          <w:p w14:paraId="0C4A325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7.1</w:t>
            </w:r>
          </w:p>
        </w:tc>
        <w:tc>
          <w:tcPr>
            <w:tcW w:w="1194" w:type="dxa"/>
            <w:tcBorders>
              <w:top w:val="nil"/>
              <w:left w:val="nil"/>
              <w:bottom w:val="single" w:sz="4" w:space="0" w:color="auto"/>
              <w:right w:val="single" w:sz="4" w:space="0" w:color="auto"/>
            </w:tcBorders>
            <w:vAlign w:val="bottom"/>
          </w:tcPr>
          <w:p w14:paraId="157AE7C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240</w:t>
            </w:r>
          </w:p>
        </w:tc>
        <w:tc>
          <w:tcPr>
            <w:tcW w:w="1350" w:type="dxa"/>
            <w:tcBorders>
              <w:top w:val="nil"/>
              <w:left w:val="nil"/>
              <w:bottom w:val="single" w:sz="4" w:space="0" w:color="auto"/>
              <w:right w:val="single" w:sz="4" w:space="0" w:color="auto"/>
            </w:tcBorders>
            <w:vAlign w:val="bottom"/>
          </w:tcPr>
          <w:p w14:paraId="271AE73B"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877" w:type="dxa"/>
            <w:tcBorders>
              <w:top w:val="nil"/>
              <w:left w:val="nil"/>
              <w:bottom w:val="single" w:sz="4" w:space="0" w:color="auto"/>
              <w:right w:val="single" w:sz="4" w:space="0" w:color="auto"/>
            </w:tcBorders>
            <w:vAlign w:val="bottom"/>
          </w:tcPr>
          <w:p w14:paraId="4E259AC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Short-term</w:t>
            </w:r>
          </w:p>
        </w:tc>
      </w:tr>
      <w:tr w:rsidR="00000000" w:rsidRPr="005875F3" w14:paraId="071BE120"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4E75A80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33.1</w:t>
            </w:r>
          </w:p>
        </w:tc>
        <w:tc>
          <w:tcPr>
            <w:tcW w:w="616" w:type="dxa"/>
            <w:tcBorders>
              <w:top w:val="nil"/>
              <w:left w:val="nil"/>
              <w:bottom w:val="single" w:sz="4" w:space="0" w:color="auto"/>
              <w:right w:val="single" w:sz="4" w:space="0" w:color="auto"/>
            </w:tcBorders>
            <w:vAlign w:val="bottom"/>
          </w:tcPr>
          <w:p w14:paraId="12BBB4E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33.5</w:t>
            </w:r>
          </w:p>
        </w:tc>
        <w:tc>
          <w:tcPr>
            <w:tcW w:w="639" w:type="dxa"/>
            <w:tcBorders>
              <w:top w:val="nil"/>
              <w:left w:val="nil"/>
              <w:bottom w:val="single" w:sz="4" w:space="0" w:color="auto"/>
              <w:right w:val="single" w:sz="4" w:space="0" w:color="auto"/>
            </w:tcBorders>
            <w:vAlign w:val="bottom"/>
          </w:tcPr>
          <w:p w14:paraId="46183A7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31</w:t>
            </w:r>
          </w:p>
        </w:tc>
        <w:tc>
          <w:tcPr>
            <w:tcW w:w="894" w:type="dxa"/>
            <w:tcBorders>
              <w:top w:val="nil"/>
              <w:left w:val="nil"/>
              <w:bottom w:val="single" w:sz="4" w:space="0" w:color="auto"/>
              <w:right w:val="single" w:sz="4" w:space="0" w:color="auto"/>
            </w:tcBorders>
            <w:vAlign w:val="bottom"/>
          </w:tcPr>
          <w:p w14:paraId="2A87CFA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817" w:type="dxa"/>
            <w:tcBorders>
              <w:top w:val="nil"/>
              <w:left w:val="nil"/>
              <w:bottom w:val="single" w:sz="4" w:space="0" w:color="auto"/>
              <w:right w:val="single" w:sz="4" w:space="0" w:color="auto"/>
            </w:tcBorders>
            <w:vAlign w:val="bottom"/>
          </w:tcPr>
          <w:p w14:paraId="373727F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80</w:t>
            </w:r>
          </w:p>
        </w:tc>
        <w:tc>
          <w:tcPr>
            <w:tcW w:w="816" w:type="dxa"/>
            <w:tcBorders>
              <w:top w:val="nil"/>
              <w:left w:val="nil"/>
              <w:bottom w:val="single" w:sz="4" w:space="0" w:color="auto"/>
              <w:right w:val="single" w:sz="4" w:space="0" w:color="auto"/>
            </w:tcBorders>
            <w:vAlign w:val="bottom"/>
          </w:tcPr>
          <w:p w14:paraId="5A0616A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6.7</w:t>
            </w:r>
          </w:p>
        </w:tc>
        <w:tc>
          <w:tcPr>
            <w:tcW w:w="1194" w:type="dxa"/>
            <w:tcBorders>
              <w:top w:val="nil"/>
              <w:left w:val="nil"/>
              <w:bottom w:val="single" w:sz="4" w:space="0" w:color="auto"/>
              <w:right w:val="single" w:sz="4" w:space="0" w:color="auto"/>
            </w:tcBorders>
            <w:vAlign w:val="bottom"/>
          </w:tcPr>
          <w:p w14:paraId="36A1287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350" w:type="dxa"/>
            <w:tcBorders>
              <w:top w:val="nil"/>
              <w:left w:val="nil"/>
              <w:bottom w:val="single" w:sz="4" w:space="0" w:color="auto"/>
              <w:right w:val="single" w:sz="4" w:space="0" w:color="auto"/>
            </w:tcBorders>
            <w:vAlign w:val="bottom"/>
          </w:tcPr>
          <w:p w14:paraId="5F9B395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210</w:t>
            </w:r>
          </w:p>
        </w:tc>
        <w:tc>
          <w:tcPr>
            <w:tcW w:w="1877" w:type="dxa"/>
            <w:tcBorders>
              <w:top w:val="nil"/>
              <w:left w:val="nil"/>
              <w:bottom w:val="single" w:sz="4" w:space="0" w:color="auto"/>
              <w:right w:val="single" w:sz="4" w:space="0" w:color="auto"/>
            </w:tcBorders>
            <w:vAlign w:val="bottom"/>
          </w:tcPr>
          <w:p w14:paraId="60F3E16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Short-term</w:t>
            </w:r>
          </w:p>
        </w:tc>
      </w:tr>
      <w:tr w:rsidR="00000000" w:rsidRPr="005875F3" w14:paraId="1BBC14D9"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539849E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lastRenderedPageBreak/>
              <w:t>37</w:t>
            </w:r>
          </w:p>
        </w:tc>
        <w:tc>
          <w:tcPr>
            <w:tcW w:w="616" w:type="dxa"/>
            <w:tcBorders>
              <w:top w:val="nil"/>
              <w:left w:val="nil"/>
              <w:bottom w:val="single" w:sz="4" w:space="0" w:color="auto"/>
              <w:right w:val="single" w:sz="4" w:space="0" w:color="auto"/>
            </w:tcBorders>
            <w:vAlign w:val="bottom"/>
          </w:tcPr>
          <w:p w14:paraId="14576B5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30.5</w:t>
            </w:r>
          </w:p>
        </w:tc>
        <w:tc>
          <w:tcPr>
            <w:tcW w:w="639" w:type="dxa"/>
            <w:tcBorders>
              <w:top w:val="nil"/>
              <w:left w:val="nil"/>
              <w:bottom w:val="single" w:sz="4" w:space="0" w:color="auto"/>
              <w:right w:val="single" w:sz="4" w:space="0" w:color="auto"/>
            </w:tcBorders>
            <w:vAlign w:val="bottom"/>
          </w:tcPr>
          <w:p w14:paraId="78BD0B2B"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w:t>
            </w:r>
          </w:p>
        </w:tc>
        <w:tc>
          <w:tcPr>
            <w:tcW w:w="894" w:type="dxa"/>
            <w:tcBorders>
              <w:top w:val="nil"/>
              <w:left w:val="nil"/>
              <w:bottom w:val="single" w:sz="4" w:space="0" w:color="auto"/>
              <w:right w:val="single" w:sz="4" w:space="0" w:color="auto"/>
            </w:tcBorders>
            <w:vAlign w:val="bottom"/>
          </w:tcPr>
          <w:p w14:paraId="07625D6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250</w:t>
            </w:r>
          </w:p>
        </w:tc>
        <w:tc>
          <w:tcPr>
            <w:tcW w:w="817" w:type="dxa"/>
            <w:tcBorders>
              <w:top w:val="nil"/>
              <w:left w:val="nil"/>
              <w:bottom w:val="single" w:sz="4" w:space="0" w:color="auto"/>
              <w:right w:val="single" w:sz="4" w:space="0" w:color="auto"/>
            </w:tcBorders>
            <w:vAlign w:val="bottom"/>
          </w:tcPr>
          <w:p w14:paraId="63A6A1D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95</w:t>
            </w:r>
          </w:p>
        </w:tc>
        <w:tc>
          <w:tcPr>
            <w:tcW w:w="816" w:type="dxa"/>
            <w:tcBorders>
              <w:top w:val="nil"/>
              <w:left w:val="nil"/>
              <w:bottom w:val="single" w:sz="4" w:space="0" w:color="auto"/>
              <w:right w:val="single" w:sz="4" w:space="0" w:color="auto"/>
            </w:tcBorders>
            <w:vAlign w:val="bottom"/>
          </w:tcPr>
          <w:p w14:paraId="0A9AC7DD"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6.2</w:t>
            </w:r>
          </w:p>
        </w:tc>
        <w:tc>
          <w:tcPr>
            <w:tcW w:w="1194" w:type="dxa"/>
            <w:tcBorders>
              <w:top w:val="nil"/>
              <w:left w:val="nil"/>
              <w:bottom w:val="single" w:sz="4" w:space="0" w:color="auto"/>
              <w:right w:val="single" w:sz="4" w:space="0" w:color="auto"/>
            </w:tcBorders>
            <w:vAlign w:val="bottom"/>
          </w:tcPr>
          <w:p w14:paraId="6EF22334"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210</w:t>
            </w:r>
          </w:p>
        </w:tc>
        <w:tc>
          <w:tcPr>
            <w:tcW w:w="1350" w:type="dxa"/>
            <w:tcBorders>
              <w:top w:val="nil"/>
              <w:left w:val="nil"/>
              <w:bottom w:val="single" w:sz="4" w:space="0" w:color="auto"/>
              <w:right w:val="single" w:sz="4" w:space="0" w:color="auto"/>
            </w:tcBorders>
            <w:vAlign w:val="bottom"/>
          </w:tcPr>
          <w:p w14:paraId="5A3D6B6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877" w:type="dxa"/>
            <w:tcBorders>
              <w:top w:val="nil"/>
              <w:left w:val="nil"/>
              <w:bottom w:val="single" w:sz="4" w:space="0" w:color="auto"/>
              <w:right w:val="single" w:sz="4" w:space="0" w:color="auto"/>
            </w:tcBorders>
            <w:vAlign w:val="bottom"/>
          </w:tcPr>
          <w:p w14:paraId="014DAB9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Short-term</w:t>
            </w:r>
          </w:p>
        </w:tc>
      </w:tr>
      <w:tr w:rsidR="00000000" w:rsidRPr="005875F3" w14:paraId="5BA4E14D"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197898A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34</w:t>
            </w:r>
          </w:p>
        </w:tc>
        <w:tc>
          <w:tcPr>
            <w:tcW w:w="616" w:type="dxa"/>
            <w:tcBorders>
              <w:top w:val="nil"/>
              <w:left w:val="nil"/>
              <w:bottom w:val="single" w:sz="4" w:space="0" w:color="auto"/>
              <w:right w:val="single" w:sz="4" w:space="0" w:color="auto"/>
            </w:tcBorders>
            <w:vAlign w:val="bottom"/>
          </w:tcPr>
          <w:p w14:paraId="42844EFD"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34</w:t>
            </w:r>
          </w:p>
        </w:tc>
        <w:tc>
          <w:tcPr>
            <w:tcW w:w="639" w:type="dxa"/>
            <w:tcBorders>
              <w:top w:val="nil"/>
              <w:left w:val="nil"/>
              <w:bottom w:val="single" w:sz="4" w:space="0" w:color="auto"/>
              <w:right w:val="single" w:sz="4" w:space="0" w:color="auto"/>
            </w:tcBorders>
            <w:vAlign w:val="bottom"/>
          </w:tcPr>
          <w:p w14:paraId="68D710B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32.5</w:t>
            </w:r>
          </w:p>
        </w:tc>
        <w:tc>
          <w:tcPr>
            <w:tcW w:w="894" w:type="dxa"/>
            <w:tcBorders>
              <w:top w:val="nil"/>
              <w:left w:val="nil"/>
              <w:bottom w:val="single" w:sz="4" w:space="0" w:color="auto"/>
              <w:right w:val="single" w:sz="4" w:space="0" w:color="auto"/>
            </w:tcBorders>
            <w:vAlign w:val="bottom"/>
          </w:tcPr>
          <w:p w14:paraId="1DA94C0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230</w:t>
            </w:r>
          </w:p>
        </w:tc>
        <w:tc>
          <w:tcPr>
            <w:tcW w:w="817" w:type="dxa"/>
            <w:tcBorders>
              <w:top w:val="nil"/>
              <w:left w:val="nil"/>
              <w:bottom w:val="single" w:sz="4" w:space="0" w:color="auto"/>
              <w:right w:val="single" w:sz="4" w:space="0" w:color="auto"/>
            </w:tcBorders>
            <w:vAlign w:val="bottom"/>
          </w:tcPr>
          <w:p w14:paraId="02D71CBD"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7.4</w:t>
            </w:r>
          </w:p>
        </w:tc>
        <w:tc>
          <w:tcPr>
            <w:tcW w:w="816" w:type="dxa"/>
            <w:tcBorders>
              <w:top w:val="nil"/>
              <w:left w:val="nil"/>
              <w:bottom w:val="single" w:sz="4" w:space="0" w:color="auto"/>
              <w:right w:val="single" w:sz="4" w:space="0" w:color="auto"/>
            </w:tcBorders>
            <w:vAlign w:val="bottom"/>
          </w:tcPr>
          <w:p w14:paraId="117630D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6.7</w:t>
            </w:r>
          </w:p>
        </w:tc>
        <w:tc>
          <w:tcPr>
            <w:tcW w:w="1194" w:type="dxa"/>
            <w:tcBorders>
              <w:top w:val="nil"/>
              <w:left w:val="nil"/>
              <w:bottom w:val="single" w:sz="4" w:space="0" w:color="auto"/>
              <w:right w:val="single" w:sz="4" w:space="0" w:color="auto"/>
            </w:tcBorders>
            <w:vAlign w:val="bottom"/>
          </w:tcPr>
          <w:p w14:paraId="7E3D5C9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350" w:type="dxa"/>
            <w:tcBorders>
              <w:top w:val="nil"/>
              <w:left w:val="nil"/>
              <w:bottom w:val="single" w:sz="4" w:space="0" w:color="auto"/>
              <w:right w:val="single" w:sz="4" w:space="0" w:color="auto"/>
            </w:tcBorders>
            <w:vAlign w:val="bottom"/>
          </w:tcPr>
          <w:p w14:paraId="1315D03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230</w:t>
            </w:r>
          </w:p>
        </w:tc>
        <w:tc>
          <w:tcPr>
            <w:tcW w:w="1877" w:type="dxa"/>
            <w:tcBorders>
              <w:top w:val="nil"/>
              <w:left w:val="nil"/>
              <w:bottom w:val="single" w:sz="4" w:space="0" w:color="auto"/>
              <w:right w:val="single" w:sz="4" w:space="0" w:color="auto"/>
            </w:tcBorders>
            <w:vAlign w:val="bottom"/>
          </w:tcPr>
          <w:p w14:paraId="46E1B33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Long-term</w:t>
            </w:r>
          </w:p>
        </w:tc>
      </w:tr>
      <w:tr w:rsidR="00000000" w:rsidRPr="005875F3" w14:paraId="62A1D2ED"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5F643A2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27</w:t>
            </w:r>
          </w:p>
        </w:tc>
        <w:tc>
          <w:tcPr>
            <w:tcW w:w="616" w:type="dxa"/>
            <w:tcBorders>
              <w:top w:val="nil"/>
              <w:left w:val="nil"/>
              <w:bottom w:val="single" w:sz="4" w:space="0" w:color="auto"/>
              <w:right w:val="single" w:sz="4" w:space="0" w:color="auto"/>
            </w:tcBorders>
            <w:vAlign w:val="bottom"/>
          </w:tcPr>
          <w:p w14:paraId="2317318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37.4</w:t>
            </w:r>
          </w:p>
        </w:tc>
        <w:tc>
          <w:tcPr>
            <w:tcW w:w="639" w:type="dxa"/>
            <w:tcBorders>
              <w:top w:val="nil"/>
              <w:left w:val="nil"/>
              <w:bottom w:val="single" w:sz="4" w:space="0" w:color="auto"/>
              <w:right w:val="single" w:sz="4" w:space="0" w:color="auto"/>
            </w:tcBorders>
            <w:vAlign w:val="bottom"/>
          </w:tcPr>
          <w:p w14:paraId="4BD3AF3B"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34</w:t>
            </w:r>
          </w:p>
        </w:tc>
        <w:tc>
          <w:tcPr>
            <w:tcW w:w="894" w:type="dxa"/>
            <w:tcBorders>
              <w:top w:val="nil"/>
              <w:left w:val="nil"/>
              <w:bottom w:val="single" w:sz="4" w:space="0" w:color="auto"/>
              <w:right w:val="single" w:sz="4" w:space="0" w:color="auto"/>
            </w:tcBorders>
            <w:vAlign w:val="bottom"/>
          </w:tcPr>
          <w:p w14:paraId="12F6443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817" w:type="dxa"/>
            <w:tcBorders>
              <w:top w:val="nil"/>
              <w:left w:val="nil"/>
              <w:bottom w:val="single" w:sz="4" w:space="0" w:color="auto"/>
              <w:right w:val="single" w:sz="4" w:space="0" w:color="auto"/>
            </w:tcBorders>
            <w:vAlign w:val="bottom"/>
          </w:tcPr>
          <w:p w14:paraId="0CA3233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7.4</w:t>
            </w:r>
          </w:p>
        </w:tc>
        <w:tc>
          <w:tcPr>
            <w:tcW w:w="816" w:type="dxa"/>
            <w:tcBorders>
              <w:top w:val="nil"/>
              <w:left w:val="nil"/>
              <w:bottom w:val="single" w:sz="4" w:space="0" w:color="auto"/>
              <w:right w:val="single" w:sz="4" w:space="0" w:color="auto"/>
            </w:tcBorders>
            <w:vAlign w:val="bottom"/>
          </w:tcPr>
          <w:p w14:paraId="698B6BF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6.3</w:t>
            </w:r>
          </w:p>
        </w:tc>
        <w:tc>
          <w:tcPr>
            <w:tcW w:w="1194" w:type="dxa"/>
            <w:tcBorders>
              <w:top w:val="nil"/>
              <w:left w:val="nil"/>
              <w:bottom w:val="single" w:sz="4" w:space="0" w:color="auto"/>
              <w:right w:val="single" w:sz="4" w:space="0" w:color="auto"/>
            </w:tcBorders>
            <w:vAlign w:val="bottom"/>
          </w:tcPr>
          <w:p w14:paraId="24B8F0C4"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230</w:t>
            </w:r>
          </w:p>
        </w:tc>
        <w:tc>
          <w:tcPr>
            <w:tcW w:w="1350" w:type="dxa"/>
            <w:tcBorders>
              <w:top w:val="nil"/>
              <w:left w:val="nil"/>
              <w:bottom w:val="single" w:sz="4" w:space="0" w:color="auto"/>
              <w:right w:val="single" w:sz="4" w:space="0" w:color="auto"/>
            </w:tcBorders>
            <w:vAlign w:val="bottom"/>
          </w:tcPr>
          <w:p w14:paraId="65F95E7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220</w:t>
            </w:r>
          </w:p>
        </w:tc>
        <w:tc>
          <w:tcPr>
            <w:tcW w:w="1877" w:type="dxa"/>
            <w:tcBorders>
              <w:top w:val="nil"/>
              <w:left w:val="nil"/>
              <w:bottom w:val="single" w:sz="4" w:space="0" w:color="auto"/>
              <w:right w:val="single" w:sz="4" w:space="0" w:color="auto"/>
            </w:tcBorders>
            <w:vAlign w:val="bottom"/>
          </w:tcPr>
          <w:p w14:paraId="2AAA4EE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Short-term</w:t>
            </w:r>
          </w:p>
        </w:tc>
      </w:tr>
      <w:tr w:rsidR="00000000" w:rsidRPr="005875F3" w14:paraId="55BC9691" w14:textId="77777777">
        <w:trPr>
          <w:trHeight w:val="300"/>
          <w:jc w:val="center"/>
        </w:trPr>
        <w:tc>
          <w:tcPr>
            <w:tcW w:w="566" w:type="dxa"/>
            <w:tcBorders>
              <w:top w:val="nil"/>
              <w:left w:val="single" w:sz="4" w:space="0" w:color="auto"/>
              <w:bottom w:val="single" w:sz="4" w:space="0" w:color="auto"/>
              <w:right w:val="single" w:sz="4" w:space="0" w:color="auto"/>
            </w:tcBorders>
            <w:vAlign w:val="bottom"/>
          </w:tcPr>
          <w:p w14:paraId="7525B439"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34</w:t>
            </w:r>
          </w:p>
        </w:tc>
        <w:tc>
          <w:tcPr>
            <w:tcW w:w="616" w:type="dxa"/>
            <w:tcBorders>
              <w:top w:val="nil"/>
              <w:left w:val="nil"/>
              <w:bottom w:val="single" w:sz="4" w:space="0" w:color="auto"/>
              <w:right w:val="single" w:sz="4" w:space="0" w:color="auto"/>
            </w:tcBorders>
            <w:vAlign w:val="bottom"/>
          </w:tcPr>
          <w:p w14:paraId="427FDEA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34</w:t>
            </w:r>
          </w:p>
        </w:tc>
        <w:tc>
          <w:tcPr>
            <w:tcW w:w="639" w:type="dxa"/>
            <w:tcBorders>
              <w:top w:val="nil"/>
              <w:left w:val="nil"/>
              <w:bottom w:val="single" w:sz="4" w:space="0" w:color="auto"/>
              <w:right w:val="single" w:sz="4" w:space="0" w:color="auto"/>
            </w:tcBorders>
            <w:vAlign w:val="bottom"/>
          </w:tcPr>
          <w:p w14:paraId="3E8D6E8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39.3</w:t>
            </w:r>
          </w:p>
        </w:tc>
        <w:tc>
          <w:tcPr>
            <w:tcW w:w="894" w:type="dxa"/>
            <w:tcBorders>
              <w:top w:val="nil"/>
              <w:left w:val="nil"/>
              <w:bottom w:val="single" w:sz="4" w:space="0" w:color="auto"/>
              <w:right w:val="single" w:sz="4" w:space="0" w:color="auto"/>
            </w:tcBorders>
            <w:vAlign w:val="bottom"/>
          </w:tcPr>
          <w:p w14:paraId="52D6244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260</w:t>
            </w:r>
          </w:p>
        </w:tc>
        <w:tc>
          <w:tcPr>
            <w:tcW w:w="817" w:type="dxa"/>
            <w:tcBorders>
              <w:top w:val="nil"/>
              <w:left w:val="nil"/>
              <w:bottom w:val="single" w:sz="4" w:space="0" w:color="auto"/>
              <w:right w:val="single" w:sz="4" w:space="0" w:color="auto"/>
            </w:tcBorders>
            <w:vAlign w:val="bottom"/>
          </w:tcPr>
          <w:p w14:paraId="7C3AC5E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7.4</w:t>
            </w:r>
          </w:p>
        </w:tc>
        <w:tc>
          <w:tcPr>
            <w:tcW w:w="816" w:type="dxa"/>
            <w:tcBorders>
              <w:top w:val="nil"/>
              <w:left w:val="nil"/>
              <w:bottom w:val="single" w:sz="4" w:space="0" w:color="auto"/>
              <w:right w:val="single" w:sz="4" w:space="0" w:color="auto"/>
            </w:tcBorders>
            <w:vAlign w:val="bottom"/>
          </w:tcPr>
          <w:p w14:paraId="75C82B40"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6.2</w:t>
            </w:r>
          </w:p>
        </w:tc>
        <w:tc>
          <w:tcPr>
            <w:tcW w:w="1194" w:type="dxa"/>
            <w:tcBorders>
              <w:top w:val="nil"/>
              <w:left w:val="nil"/>
              <w:bottom w:val="single" w:sz="4" w:space="0" w:color="auto"/>
              <w:right w:val="single" w:sz="4" w:space="0" w:color="auto"/>
            </w:tcBorders>
            <w:vAlign w:val="bottom"/>
          </w:tcPr>
          <w:p w14:paraId="1B3036C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240</w:t>
            </w:r>
          </w:p>
        </w:tc>
        <w:tc>
          <w:tcPr>
            <w:tcW w:w="1350" w:type="dxa"/>
            <w:tcBorders>
              <w:top w:val="nil"/>
              <w:left w:val="nil"/>
              <w:bottom w:val="single" w:sz="4" w:space="0" w:color="auto"/>
              <w:right w:val="single" w:sz="4" w:space="0" w:color="auto"/>
            </w:tcBorders>
            <w:vAlign w:val="bottom"/>
          </w:tcPr>
          <w:p w14:paraId="23B1515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240</w:t>
            </w:r>
          </w:p>
        </w:tc>
        <w:tc>
          <w:tcPr>
            <w:tcW w:w="1877" w:type="dxa"/>
            <w:tcBorders>
              <w:top w:val="nil"/>
              <w:left w:val="nil"/>
              <w:bottom w:val="single" w:sz="4" w:space="0" w:color="auto"/>
              <w:right w:val="single" w:sz="4" w:space="0" w:color="auto"/>
            </w:tcBorders>
            <w:vAlign w:val="bottom"/>
          </w:tcPr>
          <w:p w14:paraId="648B796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color w:val="000000"/>
                <w:position w:val="0"/>
              </w:rPr>
            </w:pPr>
            <w:r w:rsidRPr="005875F3">
              <w:rPr>
                <w:rFonts w:ascii="Goudy Old Style" w:eastAsia="Times New Roman" w:hAnsi="Goudy Old Style" w:cs="Times New Roman"/>
                <w:color w:val="000000"/>
                <w:position w:val="0"/>
              </w:rPr>
              <w:t>Long-term</w:t>
            </w:r>
          </w:p>
        </w:tc>
      </w:tr>
    </w:tbl>
    <w:p w14:paraId="3EE91D15" w14:textId="77777777" w:rsidR="00000000" w:rsidRPr="005875F3" w:rsidRDefault="00000000" w:rsidP="005875F3">
      <w:pPr>
        <w:spacing w:after="0" w:line="240" w:lineRule="auto"/>
        <w:ind w:leftChars="0" w:left="2" w:hanging="2"/>
        <w:jc w:val="both"/>
        <w:rPr>
          <w:rFonts w:ascii="Goudy Old Style" w:hAnsi="Goudy Old Style"/>
        </w:rPr>
      </w:pPr>
    </w:p>
    <w:p w14:paraId="100D7165"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b/>
          <w:bCs/>
        </w:rPr>
      </w:pPr>
      <w:r w:rsidRPr="005875F3">
        <w:rPr>
          <w:rFonts w:ascii="Goudy Old Style" w:eastAsia="Times New Roman" w:hAnsi="Goudy Old Style" w:cs="Times New Roman"/>
          <w:b/>
          <w:bCs/>
        </w:rPr>
        <w:t>3.2 Data Preprocessing and Normalization</w:t>
      </w:r>
    </w:p>
    <w:p w14:paraId="6EC3DD18"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In machine learning tasks, as with any work involving data, data preprocessing is very important. This is especially true for real world datasets which are often noisy and lacking information. For this study, the preprocessing phase consists of several steps such as filling in the missing data, normalization, and scaling so that all features can be meaningfully compared.</w:t>
      </w:r>
    </w:p>
    <w:p w14:paraId="6B05E4C4"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rPr>
      </w:pPr>
      <w:r w:rsidRPr="005875F3">
        <w:rPr>
          <w:rFonts w:ascii="Goudy Old Style" w:eastAsia="Times New Roman" w:hAnsi="Goudy Old Style" w:cs="Times New Roman"/>
        </w:rPr>
        <w:t xml:space="preserve">Incomplete clinical data sets often contain gaps in the form of missing values which occurs if data was never entered or collected incorrectly, skewing its accuracy. To rectify this, gaps are filled using the mean value for the particular feature being estimated, a method known as mean imputation. Additionaly, in cases where certain features are significantly missing, rows with those features will be deleted to avoid contaminating the overall dataset.  </w:t>
      </w:r>
    </w:p>
    <w:p w14:paraId="5C26279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rPr>
      </w:pPr>
      <w:r w:rsidRPr="005875F3">
        <w:rPr>
          <w:rFonts w:ascii="Goudy Old Style" w:eastAsia="Times New Roman" w:hAnsi="Goudy Old Style" w:cs="Times New Roman"/>
        </w:rPr>
        <w:t>Most machine learning algorithms treat features of different magnitudes with varying levels of importance. Therefore, normalization to the same value range is a requisite requirement. BMI, glucose, and cholesterol are example features with distinctly different scales. Primarily, these features are reluctant to be normalized as MinMaxScaler and StandardScaler are used, which make sure each feature does not overpower the others when making predictions. MinMaxScaler restricts data to a specified interval of 0 to 1, whereas StandardScaler adjusts data so that the mean is 0 and the standard deviation is 1.</w:t>
      </w:r>
    </w:p>
    <w:p w14:paraId="3EC8C2F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rPr>
      </w:pPr>
      <w:r w:rsidRPr="005875F3">
        <w:rPr>
          <w:rFonts w:ascii="Goudy Old Style" w:eastAsia="Times New Roman" w:hAnsi="Goudy Old Style" w:cs="Times New Roman"/>
        </w:rPr>
        <w:t>In healthcare datasets, patients who are not readmitted often outnumber those who are readmitted. Such a distribution is referred to as imbalanced, which results in biased prediction models. To mitigate this issue, we use Synthetic Minority Oversampling Technique (SMOTE). This technique creates new synthetic data points for the minority class (in this case, the readmitted patients) by generating new instances between existing examples of the class. This helps in achieving balance in the dataset.</w:t>
      </w:r>
    </w:p>
    <w:p w14:paraId="36EC36AD"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rPr>
      </w:pPr>
      <w:r w:rsidRPr="005875F3">
        <w:rPr>
          <w:rFonts w:ascii="Goudy Old Style" w:eastAsia="Times New Roman" w:hAnsi="Goudy Old Style" w:cs="Times New Roman"/>
          <w:b/>
        </w:rPr>
        <w:t>3.3 Feature Selection with Grey Relational Analysis (GRA)</w:t>
      </w:r>
    </w:p>
    <w:p w14:paraId="1EFA667D"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rPr>
      </w:pPr>
      <w:r w:rsidRPr="005875F3">
        <w:rPr>
          <w:rFonts w:ascii="Goudy Old Style" w:eastAsia="Times New Roman" w:hAnsi="Goudy Old Style" w:cs="Times New Roman"/>
        </w:rPr>
        <w:t>As with any model, classification models also require feature selection to optimize their accuracy and performance. In this case, feature selection was performed using Grey Relational Analysis (GRA). GRA is a multi-criteria decision analysis tool which assesses the relationship of multiple attributes with a specific criterion (in this case, the ‘target’ variable being assessed is the readmission status). GRA calculates a Grey Relational Coefficient (GRC) for each feature against the target, thus enabling ranking of features based on their relevance to the classification problem. The table below presents the GRC values of each feature along with the target variable.</w:t>
      </w:r>
    </w:p>
    <w:p w14:paraId="073A828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hAnsi="Goudy Old Style" w:cs="Times New Roman"/>
          <w:b/>
          <w:bCs/>
        </w:rPr>
        <w:t>Table 2</w:t>
      </w:r>
      <w:r w:rsidRPr="005875F3">
        <w:rPr>
          <w:rFonts w:ascii="Goudy Old Style" w:hAnsi="Goudy Old Style" w:cs="Times New Roman"/>
        </w:rPr>
        <w:t xml:space="preserve">: </w:t>
      </w:r>
      <w:r w:rsidRPr="005875F3">
        <w:rPr>
          <w:rFonts w:ascii="Goudy Old Style" w:hAnsi="Goudy Old Style" w:cs="Times New Roman"/>
          <w:bCs/>
        </w:rPr>
        <w:t>Grey Relational Coefficients (GRC) Values for Feature Selection Using GRA</w:t>
      </w:r>
    </w:p>
    <w:tbl>
      <w:tblPr>
        <w:tblW w:w="380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740"/>
        <w:gridCol w:w="2067"/>
      </w:tblGrid>
      <w:tr w:rsidR="00000000" w:rsidRPr="005875F3" w14:paraId="3657833E" w14:textId="77777777">
        <w:trPr>
          <w:jc w:val="center"/>
        </w:trPr>
        <w:tc>
          <w:tcPr>
            <w:tcW w:w="1740" w:type="dxa"/>
            <w:vAlign w:val="center"/>
          </w:tcPr>
          <w:p w14:paraId="6AAD786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position w:val="0"/>
              </w:rPr>
            </w:pPr>
            <w:r w:rsidRPr="005875F3">
              <w:rPr>
                <w:rFonts w:ascii="Goudy Old Style" w:eastAsia="Times New Roman" w:hAnsi="Goudy Old Style" w:cs="Times New Roman"/>
                <w:b/>
                <w:bCs/>
                <w:position w:val="0"/>
              </w:rPr>
              <w:t>Feature</w:t>
            </w:r>
          </w:p>
        </w:tc>
        <w:tc>
          <w:tcPr>
            <w:tcW w:w="2067" w:type="dxa"/>
            <w:vAlign w:val="center"/>
          </w:tcPr>
          <w:p w14:paraId="1BF237E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position w:val="0"/>
              </w:rPr>
            </w:pPr>
            <w:r w:rsidRPr="005875F3">
              <w:rPr>
                <w:rFonts w:ascii="Goudy Old Style" w:eastAsia="Times New Roman" w:hAnsi="Goudy Old Style" w:cs="Times New Roman"/>
                <w:b/>
                <w:bCs/>
                <w:position w:val="0"/>
              </w:rPr>
              <w:t>GRC Value (GRA)</w:t>
            </w:r>
          </w:p>
        </w:tc>
      </w:tr>
      <w:tr w:rsidR="00000000" w:rsidRPr="005875F3" w14:paraId="3B04F600" w14:textId="77777777">
        <w:trPr>
          <w:jc w:val="center"/>
        </w:trPr>
        <w:tc>
          <w:tcPr>
            <w:tcW w:w="1740" w:type="dxa"/>
            <w:vAlign w:val="center"/>
          </w:tcPr>
          <w:p w14:paraId="5652B1B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Age</w:t>
            </w:r>
          </w:p>
        </w:tc>
        <w:tc>
          <w:tcPr>
            <w:tcW w:w="2067" w:type="dxa"/>
            <w:vAlign w:val="center"/>
          </w:tcPr>
          <w:p w14:paraId="3D77E124"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0.75</w:t>
            </w:r>
          </w:p>
        </w:tc>
      </w:tr>
      <w:tr w:rsidR="00000000" w:rsidRPr="005875F3" w14:paraId="0439FF2D" w14:textId="77777777">
        <w:trPr>
          <w:jc w:val="center"/>
        </w:trPr>
        <w:tc>
          <w:tcPr>
            <w:tcW w:w="1740" w:type="dxa"/>
            <w:vAlign w:val="center"/>
          </w:tcPr>
          <w:p w14:paraId="485E224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BMI</w:t>
            </w:r>
          </w:p>
        </w:tc>
        <w:tc>
          <w:tcPr>
            <w:tcW w:w="2067" w:type="dxa"/>
            <w:vAlign w:val="center"/>
          </w:tcPr>
          <w:p w14:paraId="5E552A0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0.60</w:t>
            </w:r>
          </w:p>
        </w:tc>
      </w:tr>
      <w:tr w:rsidR="00000000" w:rsidRPr="005875F3" w14:paraId="25AE45FF" w14:textId="77777777">
        <w:trPr>
          <w:jc w:val="center"/>
        </w:trPr>
        <w:tc>
          <w:tcPr>
            <w:tcW w:w="1740" w:type="dxa"/>
            <w:vAlign w:val="center"/>
          </w:tcPr>
          <w:p w14:paraId="3FFF106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Glucose</w:t>
            </w:r>
          </w:p>
        </w:tc>
        <w:tc>
          <w:tcPr>
            <w:tcW w:w="2067" w:type="dxa"/>
            <w:vAlign w:val="center"/>
          </w:tcPr>
          <w:p w14:paraId="37251BF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0.85</w:t>
            </w:r>
          </w:p>
        </w:tc>
      </w:tr>
      <w:tr w:rsidR="00000000" w:rsidRPr="005875F3" w14:paraId="7AA5C4DC" w14:textId="77777777">
        <w:trPr>
          <w:jc w:val="center"/>
        </w:trPr>
        <w:tc>
          <w:tcPr>
            <w:tcW w:w="1740" w:type="dxa"/>
            <w:vAlign w:val="center"/>
          </w:tcPr>
          <w:p w14:paraId="29BFFFC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Insulin</w:t>
            </w:r>
          </w:p>
        </w:tc>
        <w:tc>
          <w:tcPr>
            <w:tcW w:w="2067" w:type="dxa"/>
            <w:vAlign w:val="center"/>
          </w:tcPr>
          <w:p w14:paraId="45C39130"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0.55</w:t>
            </w:r>
          </w:p>
        </w:tc>
      </w:tr>
      <w:tr w:rsidR="00000000" w:rsidRPr="005875F3" w14:paraId="1400AECC" w14:textId="77777777">
        <w:trPr>
          <w:jc w:val="center"/>
        </w:trPr>
        <w:tc>
          <w:tcPr>
            <w:tcW w:w="1740" w:type="dxa"/>
            <w:vAlign w:val="center"/>
          </w:tcPr>
          <w:p w14:paraId="447E37BD"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HbA1c</w:t>
            </w:r>
          </w:p>
        </w:tc>
        <w:tc>
          <w:tcPr>
            <w:tcW w:w="2067" w:type="dxa"/>
            <w:vAlign w:val="center"/>
          </w:tcPr>
          <w:p w14:paraId="392D256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0.80</w:t>
            </w:r>
          </w:p>
        </w:tc>
      </w:tr>
      <w:tr w:rsidR="00000000" w:rsidRPr="005875F3" w14:paraId="6F7E7FDD" w14:textId="77777777">
        <w:trPr>
          <w:jc w:val="center"/>
        </w:trPr>
        <w:tc>
          <w:tcPr>
            <w:tcW w:w="1740" w:type="dxa"/>
            <w:vAlign w:val="center"/>
          </w:tcPr>
          <w:p w14:paraId="793E7B6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Cholesterol</w:t>
            </w:r>
          </w:p>
        </w:tc>
        <w:tc>
          <w:tcPr>
            <w:tcW w:w="2067" w:type="dxa"/>
            <w:vAlign w:val="center"/>
          </w:tcPr>
          <w:p w14:paraId="6D123B6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0.65</w:t>
            </w:r>
          </w:p>
        </w:tc>
      </w:tr>
      <w:tr w:rsidR="00000000" w:rsidRPr="005875F3" w14:paraId="72674AD1" w14:textId="77777777">
        <w:trPr>
          <w:jc w:val="center"/>
        </w:trPr>
        <w:tc>
          <w:tcPr>
            <w:tcW w:w="1740" w:type="dxa"/>
            <w:vAlign w:val="center"/>
          </w:tcPr>
          <w:p w14:paraId="62FC353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Triglycerides</w:t>
            </w:r>
          </w:p>
        </w:tc>
        <w:tc>
          <w:tcPr>
            <w:tcW w:w="2067" w:type="dxa"/>
            <w:vAlign w:val="center"/>
          </w:tcPr>
          <w:p w14:paraId="0091BF5F"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0.70</w:t>
            </w:r>
          </w:p>
        </w:tc>
      </w:tr>
      <w:tr w:rsidR="00000000" w:rsidRPr="005875F3" w14:paraId="27CDE879" w14:textId="77777777">
        <w:trPr>
          <w:jc w:val="center"/>
        </w:trPr>
        <w:tc>
          <w:tcPr>
            <w:tcW w:w="1740" w:type="dxa"/>
            <w:vAlign w:val="center"/>
          </w:tcPr>
          <w:p w14:paraId="7FAE33AD"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New Cholesterol</w:t>
            </w:r>
          </w:p>
        </w:tc>
        <w:tc>
          <w:tcPr>
            <w:tcW w:w="2067" w:type="dxa"/>
            <w:vAlign w:val="center"/>
          </w:tcPr>
          <w:p w14:paraId="5901740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0.78</w:t>
            </w:r>
          </w:p>
        </w:tc>
      </w:tr>
    </w:tbl>
    <w:p w14:paraId="215C23F4" w14:textId="77777777" w:rsidR="00000000" w:rsidRPr="005875F3" w:rsidRDefault="00000000" w:rsidP="005875F3">
      <w:pPr>
        <w:spacing w:after="0" w:line="240" w:lineRule="auto"/>
        <w:ind w:leftChars="0" w:left="2" w:hanging="2"/>
        <w:jc w:val="both"/>
        <w:outlineLvl w:val="3"/>
        <w:rPr>
          <w:rFonts w:ascii="Goudy Old Style" w:eastAsia="Times New Roman" w:hAnsi="Goudy Old Style" w:cs="Times New Roman"/>
          <w:b/>
          <w:bCs/>
        </w:rPr>
      </w:pPr>
    </w:p>
    <w:p w14:paraId="6C633285" w14:textId="77777777" w:rsidR="005875F3" w:rsidRDefault="005875F3" w:rsidP="005875F3">
      <w:pPr>
        <w:spacing w:after="0" w:line="240" w:lineRule="auto"/>
        <w:ind w:leftChars="0" w:left="2" w:hanging="2"/>
        <w:jc w:val="both"/>
        <w:outlineLvl w:val="3"/>
        <w:rPr>
          <w:rFonts w:ascii="Goudy Old Style" w:eastAsia="Times New Roman" w:hAnsi="Goudy Old Style" w:cs="Times New Roman"/>
          <w:b/>
          <w:bCs/>
        </w:rPr>
      </w:pPr>
    </w:p>
    <w:p w14:paraId="66DC11BE" w14:textId="3496038A" w:rsidR="00000000" w:rsidRPr="005875F3" w:rsidRDefault="00000000" w:rsidP="005875F3">
      <w:pPr>
        <w:spacing w:after="0" w:line="240" w:lineRule="auto"/>
        <w:ind w:leftChars="0" w:left="2" w:hanging="2"/>
        <w:jc w:val="both"/>
        <w:outlineLvl w:val="3"/>
        <w:rPr>
          <w:rFonts w:ascii="Goudy Old Style" w:eastAsia="Times New Roman" w:hAnsi="Goudy Old Style" w:cs="Times New Roman"/>
          <w:b/>
          <w:bCs/>
        </w:rPr>
      </w:pPr>
      <w:r w:rsidRPr="005875F3">
        <w:rPr>
          <w:rFonts w:ascii="Goudy Old Style" w:eastAsia="Times New Roman" w:hAnsi="Goudy Old Style" w:cs="Times New Roman"/>
          <w:b/>
          <w:bCs/>
        </w:rPr>
        <w:lastRenderedPageBreak/>
        <w:t>Step 1: Compute Grey Relational Coefficient (GRC)</w:t>
      </w:r>
    </w:p>
    <w:p w14:paraId="23A19884"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computation of the Grey Relational Coefficient (GRC) is done for every feature in relation to the reference sequence, which in this case is the mean feature value for a specific class, either short term or long term readmission. The formula to calculate GRC is:</w:t>
      </w:r>
    </w:p>
    <w:p w14:paraId="0964C86A" w14:textId="62739AA6" w:rsidR="00000000" w:rsidRPr="005875F3" w:rsidRDefault="00C8000D" w:rsidP="005875F3">
      <w:pPr>
        <w:spacing w:after="0" w:line="240" w:lineRule="auto"/>
        <w:ind w:leftChars="0" w:left="2" w:hanging="2"/>
        <w:jc w:val="both"/>
        <w:rPr>
          <w:rFonts w:ascii="Goudy Old Style" w:hAnsi="Goudy Old Style"/>
          <w:b/>
        </w:rPr>
      </w:pPr>
      <m:oMath>
        <m:r>
          <w:rPr>
            <w:rFonts w:ascii="Cambria Math" w:hAnsi="Cambria Math"/>
          </w:rPr>
          <m:t>GRC</m:t>
        </m:r>
        <m:r>
          <m:rPr>
            <m:sty m:val="p"/>
          </m:rPr>
          <w:rPr>
            <w:rFonts w:ascii="Cambria Math" w:hAnsi="Cambria Math"/>
          </w:rPr>
          <m:t>(</m:t>
        </m:r>
        <m:r>
          <w:rPr>
            <w:rFonts w:ascii="Cambria Math" w:hAnsi="Cambria Math"/>
          </w:rPr>
          <m:t>X</m:t>
        </m:r>
        <m:r>
          <m:rPr>
            <m:sty m:val="p"/>
          </m:rPr>
          <w:rPr>
            <w:rFonts w:ascii="Cambria Math" w:hAnsi="Cambria Math"/>
          </w:rPr>
          <m:t>_</m:t>
        </m:r>
        <m:r>
          <w:rPr>
            <w:rFonts w:ascii="Cambria Math" w:hAnsi="Cambria Math"/>
          </w:rPr>
          <m:t>i</m:t>
        </m:r>
        <m:r>
          <m:rPr>
            <m:sty m:val="p"/>
          </m:rPr>
          <w:rPr>
            <w:rFonts w:ascii="Cambria Math" w:hAnsi="Cambria Math"/>
          </w:rPr>
          <m:t>,</m:t>
        </m:r>
        <m:r>
          <w:rPr>
            <w:rFonts w:ascii="Cambria Math" w:hAnsi="Cambria Math"/>
          </w:rPr>
          <m:t>X</m:t>
        </m:r>
        <m:r>
          <m:rPr>
            <m:sty m:val="p"/>
          </m:rPr>
          <w:rPr>
            <w:rFonts w:ascii="Cambria Math" w:hAnsi="Cambria Math"/>
          </w:rPr>
          <m:t>_0</m:t>
        </m:r>
        <m:r>
          <m:rPr>
            <m:sty m:val="p"/>
          </m:rPr>
          <w:rPr>
            <w:rFonts w:ascii="Cambria Math"/>
          </w:rPr>
          <m:t xml:space="preserve"> </m:t>
        </m:r>
        <m:r>
          <m:rPr>
            <m:sty m:val="p"/>
          </m:rPr>
          <w:rPr>
            <w:rFonts w:ascii="Cambria Math" w:hAnsi="Cambria Math"/>
          </w:rPr>
          <m:t>)=(</m:t>
        </m:r>
        <m:limLow>
          <m:limLowPr>
            <m:ctrlPr>
              <w:rPr>
                <w:rFonts w:ascii="Cambria Math" w:hAnsi="Cambria Math"/>
              </w:rPr>
            </m:ctrlPr>
          </m:limLowPr>
          <m:e>
            <m:r>
              <m:rPr>
                <m:sty m:val="p"/>
              </m:rPr>
              <w:rPr>
                <w:rFonts w:ascii="Cambria Math" w:hAnsi="Cambria Math"/>
              </w:rPr>
              <m:t>min</m:t>
            </m:r>
          </m:e>
          <m:lim>
            <m:r>
              <w:rPr>
                <w:rFonts w:ascii="Cambria Math" w:hAnsi="Cambria Math"/>
              </w:rPr>
              <m:t>j</m:t>
            </m:r>
            <m:ctrlPr>
              <w:rPr>
                <w:rFonts w:ascii="Cambria Math" w:hAnsi="Cambria Math"/>
                <w:i/>
              </w:rPr>
            </m:ctrlPr>
          </m:lim>
        </m:limLow>
        <m:r>
          <m:rPr>
            <m:sty m:val="p"/>
          </m:rPr>
          <w:rPr>
            <w:rFonts w:ascii="Cambria Math" w:hAnsi="Cambria Math"/>
          </w:rPr>
          <m:t> </m:t>
        </m:r>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ctrlPr>
                  <w:rPr>
                    <w:rFonts w:ascii="Cambria Math" w:hAnsi="Cambria Math"/>
                    <w:i/>
                  </w:rPr>
                </m:ctrlPr>
              </m:e>
              <m:sub>
                <m:r>
                  <m:rPr>
                    <m:sty m:val="p"/>
                  </m:rPr>
                  <w:rPr>
                    <w:rFonts w:ascii="Cambria Math" w:hAnsi="Cambria Math"/>
                  </w:rPr>
                  <m:t>0</m:t>
                </m:r>
              </m:sub>
            </m:sSub>
            <m:d>
              <m:dPr>
                <m:ctrlPr>
                  <w:rPr>
                    <w:rFonts w:ascii="Cambria Math" w:hAnsi="Cambria Math"/>
                  </w:rPr>
                </m:ctrlPr>
              </m:dPr>
              <m:e>
                <m:r>
                  <w:rPr>
                    <w:rFonts w:ascii="Cambria Math" w:hAnsi="Cambria Math"/>
                  </w:rPr>
                  <m:t>j</m:t>
                </m:r>
              </m:e>
            </m:d>
            <m:r>
              <m:rPr>
                <m:sty m:val="p"/>
              </m:rPr>
              <w:rPr>
                <w:rFonts w:ascii="Cambria Math" w:hAnsi="Cambria Math"/>
              </w:rPr>
              <m:t>-</m:t>
            </m:r>
            <m:sSub>
              <m:sSubPr>
                <m:ctrlPr>
                  <w:rPr>
                    <w:rFonts w:ascii="Cambria Math" w:hAnsi="Cambria Math"/>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d>
              <m:dPr>
                <m:ctrlPr>
                  <w:rPr>
                    <w:rFonts w:ascii="Cambria Math" w:hAnsi="Cambria Math"/>
                  </w:rPr>
                </m:ctrlPr>
              </m:dPr>
              <m:e>
                <m:r>
                  <w:rPr>
                    <w:rFonts w:ascii="Cambria Math" w:hAnsi="Cambria Math"/>
                  </w:rPr>
                  <m:t>j</m:t>
                </m:r>
              </m:e>
            </m:d>
          </m:e>
        </m:d>
        <m:r>
          <m:rPr>
            <m:sty m:val="p"/>
          </m:rPr>
          <w:rPr>
            <w:rFonts w:ascii="Cambria Math" w:hAnsi="Cambria Math"/>
          </w:rPr>
          <m:t>+</m:t>
        </m:r>
        <m:r>
          <w:rPr>
            <w:rFonts w:ascii="Cambria Math" w:hAnsi="Cambria Math"/>
          </w:rPr>
          <m:t>ρ</m:t>
        </m:r>
        <m:d>
          <m:dPr>
            <m:ctrlPr>
              <w:rPr>
                <w:rFonts w:ascii="Cambria Math" w:hAnsi="Cambria Math"/>
              </w:rPr>
            </m:ctrlPr>
          </m:dPr>
          <m:e>
            <m:limLow>
              <m:limLowPr>
                <m:ctrlPr>
                  <w:rPr>
                    <w:rFonts w:ascii="Cambria Math" w:hAnsi="Cambria Math"/>
                  </w:rPr>
                </m:ctrlPr>
              </m:limLowPr>
              <m:e>
                <m:r>
                  <m:rPr>
                    <m:sty m:val="p"/>
                  </m:rPr>
                  <w:rPr>
                    <w:rFonts w:ascii="Cambria Math" w:hAnsi="Cambria Math"/>
                  </w:rPr>
                  <m:t>max</m:t>
                </m:r>
              </m:e>
              <m:lim>
                <m:r>
                  <w:rPr>
                    <w:rFonts w:ascii="Cambria Math" w:hAnsi="Cambria Math"/>
                  </w:rPr>
                  <m:t>j</m:t>
                </m:r>
                <m:ctrlPr>
                  <w:rPr>
                    <w:rFonts w:ascii="Cambria Math" w:hAnsi="Cambria Math"/>
                    <w:i/>
                  </w:rPr>
                </m:ctrlPr>
              </m:lim>
            </m:limLow>
            <m:r>
              <m:rPr>
                <m:sty m:val="p"/>
              </m:rPr>
              <w:rPr>
                <w:rFonts w:ascii="Cambria Math" w:hAnsi="Cambria Math"/>
              </w:rPr>
              <m:t>⋅ </m:t>
            </m:r>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ctrlPr>
                      <w:rPr>
                        <w:rFonts w:ascii="Cambria Math" w:hAnsi="Cambria Math"/>
                        <w:i/>
                      </w:rPr>
                    </m:ctrlPr>
                  </m:e>
                  <m:sub>
                    <m:r>
                      <m:rPr>
                        <m:sty m:val="p"/>
                      </m:rPr>
                      <w:rPr>
                        <w:rFonts w:ascii="Cambria Math" w:hAnsi="Cambria Math"/>
                      </w:rPr>
                      <m:t>0</m:t>
                    </m:r>
                  </m:sub>
                </m:sSub>
                <m:d>
                  <m:dPr>
                    <m:ctrlPr>
                      <w:rPr>
                        <w:rFonts w:ascii="Cambria Math" w:hAnsi="Cambria Math"/>
                      </w:rPr>
                    </m:ctrlPr>
                  </m:dPr>
                  <m:e>
                    <m:r>
                      <w:rPr>
                        <w:rFonts w:ascii="Cambria Math" w:hAnsi="Cambria Math"/>
                      </w:rPr>
                      <m:t>j</m:t>
                    </m:r>
                  </m:e>
                </m:d>
                <m:r>
                  <m:rPr>
                    <m:sty m:val="p"/>
                  </m:rPr>
                  <w:rPr>
                    <w:rFonts w:ascii="Cambria Math" w:hAnsi="Cambria Math"/>
                  </w:rPr>
                  <m:t>-</m:t>
                </m:r>
                <m:sSub>
                  <m:sSubPr>
                    <m:ctrlPr>
                      <w:rPr>
                        <w:rFonts w:ascii="Cambria Math" w:hAnsi="Cambria Math"/>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d>
                  <m:dPr>
                    <m:ctrlPr>
                      <w:rPr>
                        <w:rFonts w:ascii="Cambria Math" w:hAnsi="Cambria Math"/>
                      </w:rPr>
                    </m:ctrlPr>
                  </m:dPr>
                  <m:e>
                    <m:r>
                      <w:rPr>
                        <w:rFonts w:ascii="Cambria Math" w:hAnsi="Cambria Math"/>
                      </w:rPr>
                      <m:t>j</m:t>
                    </m:r>
                  </m:e>
                </m:d>
              </m:e>
            </m:d>
          </m:e>
        </m:d>
        <m:r>
          <m:rPr>
            <m:sty m:val="p"/>
          </m:rPr>
          <w:rPr>
            <w:rFonts w:ascii="Cambria Math" w:hAnsi="Cambria Math"/>
          </w:rPr>
          <m:t>=</m:t>
        </m:r>
        <m:f>
          <m:fPr>
            <m:ctrlPr>
              <w:rPr>
                <w:rFonts w:ascii="Cambria Math" w:hAnsi="Cambria Math"/>
              </w:rPr>
            </m:ctrlPr>
          </m:fPr>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ctrlPr>
                      <w:rPr>
                        <w:rFonts w:ascii="Cambria Math" w:hAnsi="Cambria Math"/>
                        <w:i/>
                      </w:rPr>
                    </m:ctrlPr>
                  </m:e>
                  <m:sub>
                    <m:r>
                      <m:rPr>
                        <m:sty m:val="p"/>
                      </m:rPr>
                      <w:rPr>
                        <w:rFonts w:ascii="Cambria Math" w:hAnsi="Cambria Math"/>
                      </w:rPr>
                      <m:t>0</m:t>
                    </m:r>
                  </m:sub>
                </m:sSub>
                <m:d>
                  <m:dPr>
                    <m:ctrlPr>
                      <w:rPr>
                        <w:rFonts w:ascii="Cambria Math" w:hAnsi="Cambria Math"/>
                      </w:rPr>
                    </m:ctrlPr>
                  </m:dPr>
                  <m:e>
                    <m:r>
                      <w:rPr>
                        <w:rFonts w:ascii="Cambria Math" w:hAnsi="Cambria Math"/>
                      </w:rPr>
                      <m:t>j</m:t>
                    </m:r>
                  </m:e>
                </m:d>
                <m:r>
                  <m:rPr>
                    <m:sty m:val="p"/>
                  </m:rPr>
                  <w:rPr>
                    <w:rFonts w:ascii="Cambria Math" w:hAnsi="Cambria Math"/>
                  </w:rPr>
                  <m:t>-</m:t>
                </m:r>
                <m:sSub>
                  <m:sSubPr>
                    <m:ctrlPr>
                      <w:rPr>
                        <w:rFonts w:ascii="Cambria Math" w:hAnsi="Cambria Math"/>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d>
                  <m:dPr>
                    <m:ctrlPr>
                      <w:rPr>
                        <w:rFonts w:ascii="Cambria Math" w:hAnsi="Cambria Math"/>
                      </w:rPr>
                    </m:ctrlPr>
                  </m:dPr>
                  <m:e>
                    <m:r>
                      <w:rPr>
                        <w:rFonts w:ascii="Cambria Math" w:hAnsi="Cambria Math"/>
                      </w:rPr>
                      <m:t>j</m:t>
                    </m:r>
                  </m:e>
                </m:d>
              </m:e>
            </m:d>
            <m:r>
              <m:rPr>
                <m:sty m:val="p"/>
              </m:rPr>
              <w:rPr>
                <w:rFonts w:ascii="Cambria Math" w:hAnsi="Cambria Math"/>
              </w:rPr>
              <m:t>+</m:t>
            </m:r>
            <m:r>
              <w:rPr>
                <w:rFonts w:ascii="Cambria Math" w:hAnsi="Cambria Math"/>
              </w:rPr>
              <m:t>ρ</m:t>
            </m:r>
            <m:d>
              <m:dPr>
                <m:ctrlPr>
                  <w:rPr>
                    <w:rFonts w:ascii="Cambria Math" w:hAnsi="Cambria Math"/>
                  </w:rPr>
                </m:ctrlPr>
              </m:dPr>
              <m:e>
                <m:limLow>
                  <m:limLowPr>
                    <m:ctrlPr>
                      <w:rPr>
                        <w:rFonts w:ascii="Cambria Math" w:hAnsi="Cambria Math"/>
                      </w:rPr>
                    </m:ctrlPr>
                  </m:limLowPr>
                  <m:e>
                    <m:r>
                      <m:rPr>
                        <m:sty m:val="p"/>
                      </m:rPr>
                      <w:rPr>
                        <w:rFonts w:ascii="Cambria Math" w:hAnsi="Cambria Math"/>
                      </w:rPr>
                      <m:t>max</m:t>
                    </m:r>
                  </m:e>
                  <m:lim>
                    <m:r>
                      <w:rPr>
                        <w:rFonts w:ascii="Cambria Math" w:hAnsi="Cambria Math"/>
                      </w:rPr>
                      <m:t>j</m:t>
                    </m:r>
                    <m:ctrlPr>
                      <w:rPr>
                        <w:rFonts w:ascii="Cambria Math" w:hAnsi="Cambria Math"/>
                        <w:i/>
                      </w:rPr>
                    </m:ctrlPr>
                  </m:lim>
                </m:limLow>
                <m:r>
                  <m:rPr>
                    <m:sty m:val="p"/>
                  </m:rPr>
                  <w:rPr>
                    <w:rFonts w:ascii="Cambria Math" w:hAnsi="Cambria Math"/>
                  </w:rPr>
                  <m:t>⋅ </m:t>
                </m:r>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ctrlPr>
                          <w:rPr>
                            <w:rFonts w:ascii="Cambria Math" w:hAnsi="Cambria Math"/>
                            <w:i/>
                          </w:rPr>
                        </m:ctrlPr>
                      </m:e>
                      <m:sub>
                        <m:r>
                          <m:rPr>
                            <m:sty m:val="p"/>
                          </m:rPr>
                          <w:rPr>
                            <w:rFonts w:ascii="Cambria Math" w:hAnsi="Cambria Math"/>
                          </w:rPr>
                          <m:t>0</m:t>
                        </m:r>
                      </m:sub>
                    </m:sSub>
                    <m:d>
                      <m:dPr>
                        <m:ctrlPr>
                          <w:rPr>
                            <w:rFonts w:ascii="Cambria Math" w:hAnsi="Cambria Math"/>
                          </w:rPr>
                        </m:ctrlPr>
                      </m:dPr>
                      <m:e>
                        <m:r>
                          <w:rPr>
                            <w:rFonts w:ascii="Cambria Math" w:hAnsi="Cambria Math"/>
                          </w:rPr>
                          <m:t>j</m:t>
                        </m:r>
                      </m:e>
                    </m:d>
                    <m:r>
                      <m:rPr>
                        <m:sty m:val="p"/>
                      </m:rPr>
                      <w:rPr>
                        <w:rFonts w:ascii="Cambria Math" w:hAnsi="Cambria Math"/>
                      </w:rPr>
                      <m:t>-</m:t>
                    </m:r>
                    <m:sSub>
                      <m:sSubPr>
                        <m:ctrlPr>
                          <w:rPr>
                            <w:rFonts w:ascii="Cambria Math" w:hAnsi="Cambria Math"/>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d>
                      <m:dPr>
                        <m:ctrlPr>
                          <w:rPr>
                            <w:rFonts w:ascii="Cambria Math" w:hAnsi="Cambria Math"/>
                          </w:rPr>
                        </m:ctrlPr>
                      </m:dPr>
                      <m:e>
                        <m:r>
                          <w:rPr>
                            <w:rFonts w:ascii="Cambria Math" w:hAnsi="Cambria Math"/>
                          </w:rPr>
                          <m:t>j</m:t>
                        </m:r>
                      </m:e>
                    </m:d>
                  </m:e>
                </m:d>
              </m:e>
            </m:d>
            <m:ctrlPr>
              <w:rPr>
                <w:rFonts w:ascii="Cambria Math" w:hAnsi="Cambria Math"/>
                <w:i/>
              </w:rPr>
            </m:ctrlPr>
          </m:den>
        </m:f>
        <m:r>
          <m:rPr>
            <m:sty m:val="p"/>
          </m:rPr>
          <w:rPr>
            <w:rFonts w:ascii="Cambria Math" w:hAnsi="Cambria Math"/>
          </w:rPr>
          <m:t>)</m:t>
        </m:r>
      </m:oMath>
      <w:r w:rsidR="00000000" w:rsidRPr="005875F3">
        <w:rPr>
          <w:rFonts w:ascii="Goudy Old Style" w:hAnsi="Goudy Old Style"/>
          <w:b/>
        </w:rPr>
        <w:tab/>
      </w:r>
      <w:r w:rsidR="00000000" w:rsidRPr="005875F3">
        <w:rPr>
          <w:rFonts w:ascii="Goudy Old Style" w:eastAsia="Times New Roman" w:hAnsi="Goudy Old Style" w:cs="Times New Roman"/>
          <w:b/>
          <w:lang w:val="en-IN" w:eastAsia="en-IN"/>
        </w:rPr>
        <w:t>(1)</w:t>
      </w:r>
    </w:p>
    <w:p w14:paraId="7A69306B"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Where:</w:t>
      </w:r>
    </w:p>
    <w:p w14:paraId="307375A1" w14:textId="77777777" w:rsidR="00000000" w:rsidRPr="005875F3" w:rsidRDefault="00000000" w:rsidP="005875F3">
      <w:pPr>
        <w:numPr>
          <w:ilvl w:val="0"/>
          <w:numId w:val="1"/>
        </w:numPr>
        <w:tabs>
          <w:tab w:val="left" w:pos="1080"/>
        </w:tabs>
        <w:suppressAutoHyphens w:val="0"/>
        <w:spacing w:after="0" w:line="240" w:lineRule="auto"/>
        <w:ind w:leftChars="0" w:left="2" w:hanging="2"/>
        <w:jc w:val="both"/>
        <w:textAlignment w:val="auto"/>
        <w:outlineLvl w:val="9"/>
        <w:rPr>
          <w:rFonts w:ascii="Goudy Old Style" w:hAnsi="Goudy Old Style" w:cs="Times New Roman"/>
        </w:rPr>
      </w:pPr>
      <w:r w:rsidRPr="005875F3">
        <w:rPr>
          <w:rFonts w:ascii="Goudy Old Style" w:hAnsi="Goudy Old Style" w:cs="Times New Roman"/>
        </w:rPr>
        <w:t>X</w:t>
      </w:r>
      <w:r w:rsidRPr="005875F3">
        <w:rPr>
          <w:rFonts w:ascii="Goudy Old Style" w:hAnsi="Goudy Old Style" w:cs="Times New Roman"/>
          <w:vertAlign w:val="subscript"/>
        </w:rPr>
        <w:t>0</w:t>
      </w:r>
      <w:r w:rsidRPr="005875F3">
        <w:rPr>
          <w:rFonts w:ascii="Goudy Old Style" w:hAnsi="Goudy Old Style" w:cs="Times New Roman"/>
        </w:rPr>
        <w:t xml:space="preserve"> (j) and X</w:t>
      </w:r>
      <w:r w:rsidRPr="005875F3">
        <w:rPr>
          <w:rFonts w:ascii="Goudy Old Style" w:hAnsi="Goudy Old Style" w:cs="Times New Roman"/>
          <w:vertAlign w:val="subscript"/>
        </w:rPr>
        <w:t xml:space="preserve">i </w:t>
      </w:r>
      <w:r w:rsidRPr="005875F3">
        <w:rPr>
          <w:rFonts w:ascii="Goudy Old Style" w:hAnsi="Goudy Old Style" w:cs="Times New Roman"/>
        </w:rPr>
        <w:t>(j)   are the feature values for the reference sequence and the test sample.</w:t>
      </w:r>
    </w:p>
    <w:p w14:paraId="58746599" w14:textId="77777777" w:rsidR="00000000" w:rsidRPr="005875F3" w:rsidRDefault="00000000" w:rsidP="005875F3">
      <w:pPr>
        <w:numPr>
          <w:ilvl w:val="0"/>
          <w:numId w:val="1"/>
        </w:numPr>
        <w:tabs>
          <w:tab w:val="left" w:pos="1080"/>
        </w:tabs>
        <w:suppressAutoHyphens w:val="0"/>
        <w:spacing w:after="0" w:line="240" w:lineRule="auto"/>
        <w:ind w:leftChars="0" w:left="2" w:hanging="2"/>
        <w:jc w:val="both"/>
        <w:textAlignment w:val="auto"/>
        <w:outlineLvl w:val="9"/>
        <w:rPr>
          <w:rFonts w:ascii="Goudy Old Style" w:eastAsia="Times New Roman" w:hAnsi="Goudy Old Style" w:cs="Times New Roman"/>
        </w:rPr>
      </w:pPr>
      <w:r w:rsidRPr="005875F3">
        <w:rPr>
          <w:rFonts w:ascii="Cambria" w:hAnsi="Cambria" w:cs="Cambria"/>
        </w:rPr>
        <w:t>ρ</w:t>
      </w:r>
      <w:r w:rsidRPr="005875F3">
        <w:rPr>
          <w:rFonts w:ascii="Goudy Old Style" w:hAnsi="Goudy Old Style" w:cs="Times New Roman"/>
        </w:rPr>
        <w:t xml:space="preserve">   is a distinguishing coefficient (typically between 0 and 1 ). </w:t>
      </w:r>
      <w:r w:rsidRPr="005875F3">
        <w:rPr>
          <w:rFonts w:ascii="Goudy Old Style" w:eastAsia="Times New Roman" w:hAnsi="Goudy Old Style" w:cs="Times New Roman"/>
          <w:lang w:val="en-IN" w:eastAsia="en-IN"/>
        </w:rPr>
        <w:tab/>
      </w:r>
    </w:p>
    <w:p w14:paraId="046A7CB2"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This formula assesses how close each feature is to the reference sequence; the lower the GRC value, the less relevant the feature is for classification.</w:t>
      </w:r>
    </w:p>
    <w:p w14:paraId="043E718A" w14:textId="77777777" w:rsidR="00000000" w:rsidRPr="005875F3" w:rsidRDefault="00000000" w:rsidP="005875F3">
      <w:pPr>
        <w:spacing w:after="0" w:line="240" w:lineRule="auto"/>
        <w:ind w:leftChars="0" w:left="2" w:hanging="2"/>
        <w:jc w:val="both"/>
        <w:outlineLvl w:val="3"/>
        <w:rPr>
          <w:rFonts w:ascii="Goudy Old Style" w:eastAsia="Times New Roman" w:hAnsi="Goudy Old Style" w:cs="Times New Roman"/>
          <w:b/>
          <w:bCs/>
        </w:rPr>
      </w:pPr>
      <w:r w:rsidRPr="005875F3">
        <w:rPr>
          <w:rFonts w:ascii="Goudy Old Style" w:eastAsia="Times New Roman" w:hAnsi="Goudy Old Style" w:cs="Times New Roman"/>
          <w:b/>
          <w:bCs/>
        </w:rPr>
        <w:t>Step 2: Feature Ranking and Selection</w:t>
      </w:r>
    </w:p>
    <w:p w14:paraId="6A966970"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Following the computation of the GRC for every feature, the features are sorted in descending order based on their GRC values. A greater GRC value indicates that the feature is more pertinent, thus selected for classification. The features identified at this stage will be the most influential in determining the likelihood of readmission.</w:t>
      </w:r>
    </w:p>
    <w:p w14:paraId="2757D145" w14:textId="77777777" w:rsidR="00000000" w:rsidRPr="005875F3" w:rsidRDefault="00000000" w:rsidP="005875F3">
      <w:pPr>
        <w:spacing w:after="0" w:line="240" w:lineRule="auto"/>
        <w:ind w:leftChars="0" w:left="2" w:hanging="2"/>
        <w:jc w:val="both"/>
        <w:outlineLvl w:val="3"/>
        <w:rPr>
          <w:rFonts w:ascii="Goudy Old Style" w:eastAsia="Times New Roman" w:hAnsi="Goudy Old Style" w:cs="Times New Roman"/>
          <w:b/>
          <w:bCs/>
        </w:rPr>
      </w:pPr>
      <w:r w:rsidRPr="005875F3">
        <w:rPr>
          <w:rFonts w:ascii="Goudy Old Style" w:eastAsia="Times New Roman" w:hAnsi="Goudy Old Style" w:cs="Times New Roman"/>
          <w:b/>
          <w:bCs/>
        </w:rPr>
        <w:t>Step 3: Optimization of Feature Selection using Particle Swarm Optimization (PSO)</w:t>
      </w:r>
    </w:p>
    <w:p w14:paraId="6F0406E6"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Even though GRA does a good job ranking features, to guarantee that the best subset is selected, a further refinement step is added using Particle Swarm Optimization (PSO). This PSO method is based on the social behaviors exhibited when groups of birds or schools of fish come together. Through PSO, different combinations of features will be evaluated to determine which combination optimally enhances the classification accuracy. The combination of PSO and GRA improves the efficiency of the feature selection process, making the model stronger.</w:t>
      </w:r>
    </w:p>
    <w:p w14:paraId="0889A6A9"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b/>
          <w:bCs/>
        </w:rPr>
      </w:pPr>
      <w:r w:rsidRPr="005875F3">
        <w:rPr>
          <w:rFonts w:ascii="Goudy Old Style" w:eastAsia="Times New Roman" w:hAnsi="Goudy Old Style" w:cs="Times New Roman"/>
          <w:b/>
          <w:bCs/>
        </w:rPr>
        <w:t>3.4 Classification Using Grey Relational Analysis (GRA)</w:t>
      </w:r>
    </w:p>
    <w:p w14:paraId="23CB53AC"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 xml:space="preserve">After the necessary attributes have been chosen, GRA is employed to divide patients into short term and long term categorizes. The classification is made based on the closeness of a given patient’s feature vector to the reference sequences of both classes. Using GRC each patient’s feature set is evaluated against both reference sequences, short term and long term.  </w:t>
      </w:r>
    </w:p>
    <w:p w14:paraId="4A55C2C1"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 xml:space="preserve">GRC is computed for the patient’s feature vector with the reference sequences of both readmission categories, this will determine the classification. The attempt to classify is made with the following expression:  </w:t>
      </w:r>
    </w:p>
    <w:p w14:paraId="571D34B6"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This method of classification adopts relational analysis to differentiate short from long term readmission and does so effectively using the features of the patient’s health records to determine the reference sequences for every class.</w:t>
      </w:r>
    </w:p>
    <w:p w14:paraId="167C18B7"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lang w:val="en-IN" w:eastAsia="en-IN"/>
        </w:rPr>
      </w:pPr>
      <w:r w:rsidRPr="005875F3">
        <w:rPr>
          <w:rFonts w:ascii="Goudy Old Style" w:eastAsia="Times New Roman" w:hAnsi="Goudy Old Style" w:cs="Times New Roman"/>
          <w:b/>
          <w:lang w:val="en-IN" w:eastAsia="en-IN"/>
        </w:rPr>
        <w:t>GRC</w:t>
      </w:r>
      <w:r w:rsidRPr="005875F3">
        <w:rPr>
          <w:rFonts w:ascii="Goudy Old Style" w:eastAsia="Times New Roman" w:hAnsi="Goudy Old Style" w:cs="Times New Roman"/>
          <w:b/>
          <w:vertAlign w:val="subscript"/>
          <w:lang w:val="en-IN" w:eastAsia="en-IN"/>
        </w:rPr>
        <w:t>short</w:t>
      </w:r>
      <w:r w:rsidRPr="005875F3">
        <w:rPr>
          <w:rFonts w:ascii="Goudy Old Style" w:eastAsia="Times New Roman" w:hAnsi="Goudy Old Style" w:cs="Times New Roman"/>
          <w:b/>
          <w:lang w:val="en-IN" w:eastAsia="en-IN"/>
        </w:rPr>
        <w:t>=GRC(X</w:t>
      </w:r>
      <w:r w:rsidRPr="005875F3">
        <w:rPr>
          <w:rFonts w:ascii="Goudy Old Style" w:eastAsia="Times New Roman" w:hAnsi="Goudy Old Style" w:cs="Times New Roman"/>
          <w:b/>
          <w:vertAlign w:val="subscript"/>
          <w:lang w:val="en-IN" w:eastAsia="en-IN"/>
        </w:rPr>
        <w:t>i</w:t>
      </w:r>
      <w:r w:rsidRPr="005875F3">
        <w:rPr>
          <w:rFonts w:ascii="Goudy Old Style" w:eastAsia="Times New Roman" w:hAnsi="Goudy Old Style" w:cs="Times New Roman"/>
          <w:b/>
          <w:lang w:val="en-IN" w:eastAsia="en-IN"/>
        </w:rPr>
        <w:t>,GRC</w:t>
      </w:r>
      <w:r w:rsidRPr="005875F3">
        <w:rPr>
          <w:rFonts w:ascii="Goudy Old Style" w:eastAsia="Times New Roman" w:hAnsi="Goudy Old Style" w:cs="Times New Roman"/>
          <w:b/>
          <w:vertAlign w:val="subscript"/>
          <w:lang w:val="en-IN" w:eastAsia="en-IN"/>
        </w:rPr>
        <w:t>short</w:t>
      </w:r>
      <w:r w:rsidRPr="005875F3">
        <w:rPr>
          <w:rFonts w:ascii="Goudy Old Style" w:eastAsia="Times New Roman" w:hAnsi="Goudy Old Style" w:cs="Times New Roman"/>
          <w:b/>
          <w:lang w:val="en-IN" w:eastAsia="en-IN"/>
        </w:rPr>
        <w:t>),GRC</w:t>
      </w:r>
      <w:r w:rsidRPr="005875F3">
        <w:rPr>
          <w:rFonts w:ascii="Goudy Old Style" w:eastAsia="Times New Roman" w:hAnsi="Goudy Old Style" w:cs="Times New Roman"/>
          <w:b/>
          <w:vertAlign w:val="subscript"/>
          <w:lang w:val="en-IN" w:eastAsia="en-IN"/>
        </w:rPr>
        <w:t>long</w:t>
      </w:r>
      <w:r w:rsidRPr="005875F3">
        <w:rPr>
          <w:rFonts w:ascii="Goudy Old Style" w:eastAsia="Times New Roman" w:hAnsi="Goudy Old Style" w:cs="Times New Roman"/>
          <w:b/>
          <w:lang w:val="en-IN" w:eastAsia="en-IN"/>
        </w:rPr>
        <w:t xml:space="preserve"> =GRC(X</w:t>
      </w:r>
      <w:r w:rsidRPr="005875F3">
        <w:rPr>
          <w:rFonts w:ascii="Goudy Old Style" w:eastAsia="Times New Roman" w:hAnsi="Goudy Old Style" w:cs="Times New Roman"/>
          <w:b/>
          <w:vertAlign w:val="subscript"/>
          <w:lang w:val="en-IN" w:eastAsia="en-IN"/>
        </w:rPr>
        <w:t>i</w:t>
      </w:r>
      <w:r w:rsidRPr="005875F3">
        <w:rPr>
          <w:rFonts w:ascii="Goudy Old Style" w:eastAsia="Times New Roman" w:hAnsi="Goudy Old Style" w:cs="Times New Roman"/>
          <w:b/>
          <w:lang w:val="en-IN" w:eastAsia="en-IN"/>
        </w:rPr>
        <w:t>,X</w:t>
      </w:r>
      <w:r w:rsidRPr="005875F3">
        <w:rPr>
          <w:rFonts w:ascii="Goudy Old Style" w:eastAsia="Times New Roman" w:hAnsi="Goudy Old Style" w:cs="Times New Roman"/>
          <w:b/>
          <w:vertAlign w:val="subscript"/>
          <w:lang w:val="en-IN" w:eastAsia="en-IN"/>
        </w:rPr>
        <w:t>long</w:t>
      </w:r>
      <w:r w:rsidRPr="005875F3">
        <w:rPr>
          <w:rFonts w:ascii="Goudy Old Style" w:eastAsia="Times New Roman" w:hAnsi="Goudy Old Style" w:cs="Times New Roman"/>
          <w:b/>
          <w:lang w:val="en-IN" w:eastAsia="en-IN"/>
        </w:rPr>
        <w:t>)</w:t>
      </w:r>
      <w:r w:rsidRPr="005875F3">
        <w:rPr>
          <w:rFonts w:ascii="Goudy Old Style" w:eastAsia="Times New Roman" w:hAnsi="Goudy Old Style" w:cs="Times New Roman"/>
          <w:lang w:val="en-IN" w:eastAsia="en-IN"/>
        </w:rPr>
        <w:t xml:space="preserve">            </w:t>
      </w:r>
      <w:r w:rsidRPr="005875F3">
        <w:rPr>
          <w:rFonts w:ascii="Goudy Old Style" w:eastAsia="Times New Roman" w:hAnsi="Goudy Old Style" w:cs="Times New Roman"/>
          <w:b/>
          <w:lang w:val="en-IN" w:eastAsia="en-IN"/>
        </w:rPr>
        <w:t>(2)</w:t>
      </w:r>
    </w:p>
    <w:p w14:paraId="31CCDBDB"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b/>
          <w:bCs/>
          <w:position w:val="0"/>
        </w:rPr>
        <w:t>Classification Rules:</w:t>
      </w:r>
    </w:p>
    <w:p w14:paraId="1B1B1CF4" w14:textId="77777777" w:rsidR="00000000" w:rsidRPr="005875F3" w:rsidRDefault="00000000" w:rsidP="005875F3">
      <w:pPr>
        <w:numPr>
          <w:ilvl w:val="0"/>
          <w:numId w:val="2"/>
        </w:numPr>
        <w:tabs>
          <w:tab w:val="left" w:pos="720"/>
        </w:tabs>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 xml:space="preserve">If </w:t>
      </w:r>
      <w:r w:rsidRPr="005875F3">
        <w:rPr>
          <w:rFonts w:ascii="Goudy Old Style" w:eastAsia="Times New Roman" w:hAnsi="Goudy Old Style" w:cs="Times New Roman"/>
          <w:b/>
          <w:bCs/>
          <w:position w:val="0"/>
        </w:rPr>
        <w:t>GRC</w:t>
      </w:r>
      <w:r w:rsidRPr="005875F3">
        <w:rPr>
          <w:rFonts w:ascii="Cambria Math" w:eastAsia="Times New Roman" w:hAnsi="Cambria Math" w:cs="Cambria Math"/>
          <w:b/>
          <w:bCs/>
          <w:position w:val="0"/>
        </w:rPr>
        <w:t>ₛₕₒᵣₜ</w:t>
      </w:r>
      <w:r w:rsidRPr="005875F3">
        <w:rPr>
          <w:rFonts w:ascii="Goudy Old Style" w:eastAsia="Times New Roman" w:hAnsi="Goudy Old Style" w:cs="Times New Roman"/>
          <w:b/>
          <w:bCs/>
          <w:position w:val="0"/>
        </w:rPr>
        <w:t xml:space="preserve"> &gt; GRC</w:t>
      </w:r>
      <w:r w:rsidRPr="005875F3">
        <w:rPr>
          <w:rFonts w:ascii="Cambria Math" w:eastAsia="Times New Roman" w:hAnsi="Cambria Math" w:cs="Cambria Math"/>
          <w:b/>
          <w:bCs/>
          <w:position w:val="0"/>
        </w:rPr>
        <w:t>ₗₒₙ</w:t>
      </w:r>
      <w:r w:rsidRPr="005875F3">
        <w:rPr>
          <w:rFonts w:ascii="Goudy Old Style" w:eastAsia="Times New Roman" w:hAnsi="Goudy Old Style" w:cs="Times New Roman"/>
          <w:b/>
          <w:bCs/>
          <w:position w:val="0"/>
        </w:rPr>
        <w:t>g</w:t>
      </w:r>
      <w:r w:rsidRPr="005875F3">
        <w:rPr>
          <w:rFonts w:ascii="Goudy Old Style" w:eastAsia="Times New Roman" w:hAnsi="Goudy Old Style" w:cs="Times New Roman"/>
          <w:position w:val="0"/>
        </w:rPr>
        <w:t xml:space="preserve">, the patient is classified as </w:t>
      </w:r>
      <w:r w:rsidRPr="005875F3">
        <w:rPr>
          <w:rFonts w:ascii="Goudy Old Style" w:eastAsia="Times New Roman" w:hAnsi="Goudy Old Style" w:cs="Times New Roman"/>
          <w:b/>
          <w:bCs/>
          <w:position w:val="0"/>
        </w:rPr>
        <w:t>short-term readmission</w:t>
      </w:r>
      <w:r w:rsidRPr="005875F3">
        <w:rPr>
          <w:rFonts w:ascii="Goudy Old Style" w:eastAsia="Times New Roman" w:hAnsi="Goudy Old Style" w:cs="Times New Roman"/>
          <w:position w:val="0"/>
        </w:rPr>
        <w:t>.</w:t>
      </w:r>
    </w:p>
    <w:p w14:paraId="7A327F8C" w14:textId="77777777" w:rsidR="00000000" w:rsidRPr="005875F3" w:rsidRDefault="00000000" w:rsidP="005875F3">
      <w:pPr>
        <w:numPr>
          <w:ilvl w:val="0"/>
          <w:numId w:val="2"/>
        </w:numPr>
        <w:tabs>
          <w:tab w:val="left" w:pos="720"/>
        </w:tabs>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 xml:space="preserve">If </w:t>
      </w:r>
      <w:r w:rsidRPr="005875F3">
        <w:rPr>
          <w:rFonts w:ascii="Goudy Old Style" w:eastAsia="Times New Roman" w:hAnsi="Goudy Old Style" w:cs="Times New Roman"/>
          <w:b/>
          <w:bCs/>
          <w:position w:val="0"/>
        </w:rPr>
        <w:t>GRC</w:t>
      </w:r>
      <w:r w:rsidRPr="005875F3">
        <w:rPr>
          <w:rFonts w:ascii="Cambria Math" w:eastAsia="Times New Roman" w:hAnsi="Cambria Math" w:cs="Cambria Math"/>
          <w:b/>
          <w:bCs/>
          <w:position w:val="0"/>
        </w:rPr>
        <w:t>ₗₒₙ</w:t>
      </w:r>
      <w:r w:rsidRPr="005875F3">
        <w:rPr>
          <w:rFonts w:ascii="Goudy Old Style" w:eastAsia="Times New Roman" w:hAnsi="Goudy Old Style" w:cs="Times New Roman"/>
          <w:b/>
          <w:bCs/>
          <w:position w:val="0"/>
        </w:rPr>
        <w:t>g &gt; GRC</w:t>
      </w:r>
      <w:r w:rsidRPr="005875F3">
        <w:rPr>
          <w:rFonts w:ascii="Cambria Math" w:eastAsia="Times New Roman" w:hAnsi="Cambria Math" w:cs="Cambria Math"/>
          <w:b/>
          <w:bCs/>
          <w:position w:val="0"/>
        </w:rPr>
        <w:t>ₛₕₒᵣₜ</w:t>
      </w:r>
      <w:r w:rsidRPr="005875F3">
        <w:rPr>
          <w:rFonts w:ascii="Goudy Old Style" w:eastAsia="Times New Roman" w:hAnsi="Goudy Old Style" w:cs="Times New Roman"/>
          <w:position w:val="0"/>
        </w:rPr>
        <w:t xml:space="preserve">, the patient is classified as </w:t>
      </w:r>
      <w:r w:rsidRPr="005875F3">
        <w:rPr>
          <w:rFonts w:ascii="Goudy Old Style" w:eastAsia="Times New Roman" w:hAnsi="Goudy Old Style" w:cs="Times New Roman"/>
          <w:b/>
          <w:bCs/>
          <w:position w:val="0"/>
        </w:rPr>
        <w:t>long-term readmission</w:t>
      </w:r>
      <w:r w:rsidRPr="005875F3">
        <w:rPr>
          <w:rFonts w:ascii="Goudy Old Style" w:eastAsia="Times New Roman" w:hAnsi="Goudy Old Style" w:cs="Times New Roman"/>
          <w:position w:val="0"/>
        </w:rPr>
        <w:t>.</w:t>
      </w:r>
    </w:p>
    <w:p w14:paraId="7E5425ED" w14:textId="77777777"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b/>
          <w:bCs/>
        </w:rPr>
      </w:pPr>
      <w:r w:rsidRPr="005875F3">
        <w:rPr>
          <w:rFonts w:ascii="Goudy Old Style" w:eastAsia="Times New Roman" w:hAnsi="Goudy Old Style" w:cs="Times New Roman"/>
          <w:b/>
          <w:bCs/>
        </w:rPr>
        <w:t>3.5 Optimization Using Grey Wolf Optimization (GWO)</w:t>
      </w:r>
    </w:p>
    <w:p w14:paraId="7D3FEFE7"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Whereas GRA is currently performing great regarding classification, there is a necessity to further increase the performance of the model. It is realized through the use of the Grey Wolf Optimization (GWO) that optimizes the model parameters, especially the differentiating coefficient ‘zeta, and the feature weights. GWO is a parametric optimization algorithm, inspired by the hunting behavior of wolves, which particularly performs well at optimizing the parameters of machine learning models.</w:t>
      </w:r>
    </w:p>
    <w:p w14:paraId="18E36609"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following table shows the weights derived from GWO and the resulting optimized GRC values:</w:t>
      </w:r>
    </w:p>
    <w:p w14:paraId="66CE1726"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hAnsi="Goudy Old Style" w:cs="Times New Roman"/>
          <w:b/>
          <w:bCs/>
        </w:rPr>
        <w:t>Table 3</w:t>
      </w:r>
      <w:r w:rsidRPr="005875F3">
        <w:rPr>
          <w:rFonts w:ascii="Goudy Old Style" w:hAnsi="Goudy Old Style" w:cs="Times New Roman"/>
        </w:rPr>
        <w:t xml:space="preserve">: </w:t>
      </w:r>
      <w:r w:rsidRPr="005875F3">
        <w:rPr>
          <w:rFonts w:ascii="Goudy Old Style" w:hAnsi="Goudy Old Style" w:cs="Times New Roman"/>
          <w:bCs/>
        </w:rPr>
        <w:t>Optimized Grey Relational Coefficients (GRC) After GWO Optimization</w:t>
      </w:r>
    </w:p>
    <w:tbl>
      <w:tblPr>
        <w:tblW w:w="6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740"/>
        <w:gridCol w:w="1700"/>
        <w:gridCol w:w="3417"/>
      </w:tblGrid>
      <w:tr w:rsidR="00000000" w:rsidRPr="005875F3" w14:paraId="5C929BEB" w14:textId="77777777">
        <w:trPr>
          <w:jc w:val="center"/>
        </w:trPr>
        <w:tc>
          <w:tcPr>
            <w:tcW w:w="1740" w:type="dxa"/>
            <w:vAlign w:val="center"/>
          </w:tcPr>
          <w:p w14:paraId="0B5AE94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position w:val="0"/>
              </w:rPr>
            </w:pPr>
            <w:r w:rsidRPr="005875F3">
              <w:rPr>
                <w:rFonts w:ascii="Goudy Old Style" w:eastAsia="Times New Roman" w:hAnsi="Goudy Old Style" w:cs="Times New Roman"/>
                <w:b/>
                <w:bCs/>
                <w:position w:val="0"/>
              </w:rPr>
              <w:lastRenderedPageBreak/>
              <w:t>Feature</w:t>
            </w:r>
          </w:p>
        </w:tc>
        <w:tc>
          <w:tcPr>
            <w:tcW w:w="1700" w:type="dxa"/>
            <w:vAlign w:val="center"/>
          </w:tcPr>
          <w:p w14:paraId="39B3B51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position w:val="0"/>
              </w:rPr>
            </w:pPr>
            <w:r w:rsidRPr="005875F3">
              <w:rPr>
                <w:rFonts w:ascii="Goudy Old Style" w:eastAsia="Times New Roman" w:hAnsi="Goudy Old Style" w:cs="Times New Roman"/>
                <w:b/>
                <w:bCs/>
                <w:position w:val="0"/>
              </w:rPr>
              <w:t>Weight (GWO)</w:t>
            </w:r>
          </w:p>
        </w:tc>
        <w:tc>
          <w:tcPr>
            <w:tcW w:w="3417" w:type="dxa"/>
            <w:vAlign w:val="center"/>
          </w:tcPr>
          <w:p w14:paraId="3E36EF99"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b/>
                <w:bCs/>
                <w:position w:val="0"/>
              </w:rPr>
            </w:pPr>
            <w:r w:rsidRPr="005875F3">
              <w:rPr>
                <w:rFonts w:ascii="Goudy Old Style" w:eastAsia="Times New Roman" w:hAnsi="Goudy Old Style" w:cs="Times New Roman"/>
                <w:b/>
                <w:bCs/>
                <w:position w:val="0"/>
              </w:rPr>
              <w:t>Optimized GRC (GRA + GWO)</w:t>
            </w:r>
          </w:p>
        </w:tc>
      </w:tr>
      <w:tr w:rsidR="00000000" w:rsidRPr="005875F3" w14:paraId="5839881E" w14:textId="77777777">
        <w:trPr>
          <w:jc w:val="center"/>
        </w:trPr>
        <w:tc>
          <w:tcPr>
            <w:tcW w:w="1740" w:type="dxa"/>
            <w:vAlign w:val="center"/>
          </w:tcPr>
          <w:p w14:paraId="7F747051"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Age</w:t>
            </w:r>
          </w:p>
        </w:tc>
        <w:tc>
          <w:tcPr>
            <w:tcW w:w="1700" w:type="dxa"/>
            <w:vAlign w:val="center"/>
          </w:tcPr>
          <w:p w14:paraId="3105CD7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0.15</w:t>
            </w:r>
          </w:p>
        </w:tc>
        <w:tc>
          <w:tcPr>
            <w:tcW w:w="3417" w:type="dxa"/>
            <w:vAlign w:val="center"/>
          </w:tcPr>
          <w:p w14:paraId="46A8E3D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0.72</w:t>
            </w:r>
          </w:p>
        </w:tc>
      </w:tr>
      <w:tr w:rsidR="00000000" w:rsidRPr="005875F3" w14:paraId="4BBD3935" w14:textId="77777777">
        <w:trPr>
          <w:jc w:val="center"/>
        </w:trPr>
        <w:tc>
          <w:tcPr>
            <w:tcW w:w="1740" w:type="dxa"/>
            <w:vAlign w:val="center"/>
          </w:tcPr>
          <w:p w14:paraId="3227DF0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BMI</w:t>
            </w:r>
          </w:p>
        </w:tc>
        <w:tc>
          <w:tcPr>
            <w:tcW w:w="1700" w:type="dxa"/>
            <w:vAlign w:val="center"/>
          </w:tcPr>
          <w:p w14:paraId="3EA33016"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0.10</w:t>
            </w:r>
          </w:p>
        </w:tc>
        <w:tc>
          <w:tcPr>
            <w:tcW w:w="3417" w:type="dxa"/>
            <w:vAlign w:val="center"/>
          </w:tcPr>
          <w:p w14:paraId="15788619"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0.58</w:t>
            </w:r>
          </w:p>
        </w:tc>
      </w:tr>
      <w:tr w:rsidR="00000000" w:rsidRPr="005875F3" w14:paraId="53EA34D8" w14:textId="77777777">
        <w:trPr>
          <w:jc w:val="center"/>
        </w:trPr>
        <w:tc>
          <w:tcPr>
            <w:tcW w:w="1740" w:type="dxa"/>
            <w:vAlign w:val="center"/>
          </w:tcPr>
          <w:p w14:paraId="3548951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Glucose</w:t>
            </w:r>
          </w:p>
        </w:tc>
        <w:tc>
          <w:tcPr>
            <w:tcW w:w="1700" w:type="dxa"/>
            <w:vAlign w:val="center"/>
          </w:tcPr>
          <w:p w14:paraId="3C8BC62E"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0.20</w:t>
            </w:r>
          </w:p>
        </w:tc>
        <w:tc>
          <w:tcPr>
            <w:tcW w:w="3417" w:type="dxa"/>
            <w:vAlign w:val="center"/>
          </w:tcPr>
          <w:p w14:paraId="593EA91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0.82</w:t>
            </w:r>
          </w:p>
        </w:tc>
      </w:tr>
      <w:tr w:rsidR="00000000" w:rsidRPr="005875F3" w14:paraId="158F39D9" w14:textId="77777777">
        <w:trPr>
          <w:jc w:val="center"/>
        </w:trPr>
        <w:tc>
          <w:tcPr>
            <w:tcW w:w="1740" w:type="dxa"/>
            <w:vAlign w:val="center"/>
          </w:tcPr>
          <w:p w14:paraId="5AFA199C"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Insulin</w:t>
            </w:r>
          </w:p>
        </w:tc>
        <w:tc>
          <w:tcPr>
            <w:tcW w:w="1700" w:type="dxa"/>
            <w:vAlign w:val="center"/>
          </w:tcPr>
          <w:p w14:paraId="47B5590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0.12</w:t>
            </w:r>
          </w:p>
        </w:tc>
        <w:tc>
          <w:tcPr>
            <w:tcW w:w="3417" w:type="dxa"/>
            <w:vAlign w:val="center"/>
          </w:tcPr>
          <w:p w14:paraId="132535D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0.53</w:t>
            </w:r>
          </w:p>
        </w:tc>
      </w:tr>
      <w:tr w:rsidR="00000000" w:rsidRPr="005875F3" w14:paraId="3F7C8FA8" w14:textId="77777777">
        <w:trPr>
          <w:jc w:val="center"/>
        </w:trPr>
        <w:tc>
          <w:tcPr>
            <w:tcW w:w="1740" w:type="dxa"/>
            <w:vAlign w:val="center"/>
          </w:tcPr>
          <w:p w14:paraId="32AAEAE9"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HbA1c</w:t>
            </w:r>
          </w:p>
        </w:tc>
        <w:tc>
          <w:tcPr>
            <w:tcW w:w="1700" w:type="dxa"/>
            <w:vAlign w:val="center"/>
          </w:tcPr>
          <w:p w14:paraId="6202C582"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0.18</w:t>
            </w:r>
          </w:p>
        </w:tc>
        <w:tc>
          <w:tcPr>
            <w:tcW w:w="3417" w:type="dxa"/>
            <w:vAlign w:val="center"/>
          </w:tcPr>
          <w:p w14:paraId="1F5FF667"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0.78</w:t>
            </w:r>
          </w:p>
        </w:tc>
      </w:tr>
      <w:tr w:rsidR="00000000" w:rsidRPr="005875F3" w14:paraId="2DBB6859" w14:textId="77777777">
        <w:trPr>
          <w:jc w:val="center"/>
        </w:trPr>
        <w:tc>
          <w:tcPr>
            <w:tcW w:w="1740" w:type="dxa"/>
            <w:vAlign w:val="center"/>
          </w:tcPr>
          <w:p w14:paraId="289FE96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Cholesterol</w:t>
            </w:r>
          </w:p>
        </w:tc>
        <w:tc>
          <w:tcPr>
            <w:tcW w:w="1700" w:type="dxa"/>
            <w:vAlign w:val="center"/>
          </w:tcPr>
          <w:p w14:paraId="19C94E2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0.14</w:t>
            </w:r>
          </w:p>
        </w:tc>
        <w:tc>
          <w:tcPr>
            <w:tcW w:w="3417" w:type="dxa"/>
            <w:vAlign w:val="center"/>
          </w:tcPr>
          <w:p w14:paraId="5AC76004"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0.63</w:t>
            </w:r>
          </w:p>
        </w:tc>
      </w:tr>
      <w:tr w:rsidR="00000000" w:rsidRPr="005875F3" w14:paraId="3232E29E" w14:textId="77777777">
        <w:trPr>
          <w:jc w:val="center"/>
        </w:trPr>
        <w:tc>
          <w:tcPr>
            <w:tcW w:w="1740" w:type="dxa"/>
            <w:vAlign w:val="center"/>
          </w:tcPr>
          <w:p w14:paraId="099EF19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Triglycerides</w:t>
            </w:r>
          </w:p>
        </w:tc>
        <w:tc>
          <w:tcPr>
            <w:tcW w:w="1700" w:type="dxa"/>
            <w:vAlign w:val="center"/>
          </w:tcPr>
          <w:p w14:paraId="31A68D0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0.16</w:t>
            </w:r>
          </w:p>
        </w:tc>
        <w:tc>
          <w:tcPr>
            <w:tcW w:w="3417" w:type="dxa"/>
            <w:vAlign w:val="center"/>
          </w:tcPr>
          <w:p w14:paraId="5D7D7D0A"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0.68</w:t>
            </w:r>
          </w:p>
        </w:tc>
      </w:tr>
      <w:tr w:rsidR="00000000" w:rsidRPr="005875F3" w14:paraId="072CABDC" w14:textId="77777777">
        <w:trPr>
          <w:jc w:val="center"/>
        </w:trPr>
        <w:tc>
          <w:tcPr>
            <w:tcW w:w="1740" w:type="dxa"/>
            <w:vAlign w:val="center"/>
          </w:tcPr>
          <w:p w14:paraId="652C9625"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New Cholesterol</w:t>
            </w:r>
          </w:p>
        </w:tc>
        <w:tc>
          <w:tcPr>
            <w:tcW w:w="1700" w:type="dxa"/>
            <w:vAlign w:val="center"/>
          </w:tcPr>
          <w:p w14:paraId="7A8905F8"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0.19</w:t>
            </w:r>
          </w:p>
        </w:tc>
        <w:tc>
          <w:tcPr>
            <w:tcW w:w="3417" w:type="dxa"/>
            <w:vAlign w:val="center"/>
          </w:tcPr>
          <w:p w14:paraId="75B6F6F3" w14:textId="77777777" w:rsidR="00000000" w:rsidRPr="005875F3" w:rsidRDefault="00000000" w:rsidP="005875F3">
            <w:pPr>
              <w:suppressAutoHyphens w:val="0"/>
              <w:spacing w:after="0" w:line="240" w:lineRule="auto"/>
              <w:ind w:leftChars="0" w:left="2" w:hanging="2"/>
              <w:jc w:val="both"/>
              <w:textAlignment w:val="auto"/>
              <w:outlineLvl w:val="9"/>
              <w:rPr>
                <w:rFonts w:ascii="Goudy Old Style" w:eastAsia="Times New Roman" w:hAnsi="Goudy Old Style" w:cs="Times New Roman"/>
                <w:position w:val="0"/>
              </w:rPr>
            </w:pPr>
            <w:r w:rsidRPr="005875F3">
              <w:rPr>
                <w:rFonts w:ascii="Goudy Old Style" w:eastAsia="Times New Roman" w:hAnsi="Goudy Old Style" w:cs="Times New Roman"/>
                <w:position w:val="0"/>
              </w:rPr>
              <w:t>0.75</w:t>
            </w:r>
          </w:p>
        </w:tc>
      </w:tr>
    </w:tbl>
    <w:p w14:paraId="57C9D9D5" w14:textId="77777777" w:rsidR="00000000" w:rsidRPr="005875F3" w:rsidRDefault="00000000" w:rsidP="005875F3">
      <w:pPr>
        <w:spacing w:after="0" w:line="240" w:lineRule="auto"/>
        <w:ind w:leftChars="0" w:left="2" w:hanging="2"/>
        <w:jc w:val="both"/>
        <w:outlineLvl w:val="3"/>
        <w:rPr>
          <w:rFonts w:ascii="Goudy Old Style" w:eastAsia="Times New Roman" w:hAnsi="Goudy Old Style" w:cs="Times New Roman"/>
          <w:b/>
          <w:bCs/>
        </w:rPr>
      </w:pPr>
    </w:p>
    <w:p w14:paraId="75B6A215" w14:textId="77777777" w:rsidR="00000000" w:rsidRPr="005875F3" w:rsidRDefault="00000000" w:rsidP="005875F3">
      <w:pPr>
        <w:spacing w:after="0" w:line="240" w:lineRule="auto"/>
        <w:ind w:leftChars="0" w:left="2" w:hanging="2"/>
        <w:jc w:val="both"/>
        <w:outlineLvl w:val="3"/>
        <w:rPr>
          <w:rFonts w:ascii="Goudy Old Style" w:eastAsia="Times New Roman" w:hAnsi="Goudy Old Style" w:cs="Times New Roman"/>
          <w:b/>
          <w:bCs/>
        </w:rPr>
      </w:pPr>
      <w:r w:rsidRPr="005875F3">
        <w:rPr>
          <w:rFonts w:ascii="Goudy Old Style" w:eastAsia="Times New Roman" w:hAnsi="Goudy Old Style" w:cs="Times New Roman"/>
          <w:b/>
          <w:bCs/>
        </w:rPr>
        <w:t>Step 1: Define Fitness Function</w:t>
      </w:r>
    </w:p>
    <w:p w14:paraId="7A74FA6F"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distinguishing coefficient ‘</w:t>
      </w:r>
      <w:r w:rsidRPr="005875F3">
        <w:rPr>
          <w:rFonts w:ascii="Cambria" w:hAnsi="Cambria" w:cs="Cambria"/>
          <w:b/>
          <w:bCs/>
        </w:rPr>
        <w:t>ζ</w:t>
      </w:r>
      <w:r w:rsidRPr="005875F3">
        <w:rPr>
          <w:rFonts w:ascii="Goudy Old Style" w:hAnsi="Goudy Old Style" w:cs="Goudy Old Style"/>
          <w:b/>
          <w:bCs/>
        </w:rPr>
        <w:t>’</w:t>
      </w:r>
      <w:r w:rsidRPr="005875F3">
        <w:rPr>
          <w:rFonts w:ascii="Goudy Old Style" w:hAnsi="Goudy Old Style"/>
        </w:rPr>
        <w:t xml:space="preserve"> </w:t>
      </w:r>
      <w:r w:rsidRPr="005875F3">
        <w:rPr>
          <w:rFonts w:ascii="Goudy Old Style" w:eastAsia="Times New Roman" w:hAnsi="Goudy Old Style" w:cs="Times New Roman"/>
        </w:rPr>
        <w:t>alongside the feature weights shall be derived simultaneously and optimized as such. The function is constructed to be based on error minimization in classification as follows:</w:t>
      </w:r>
    </w:p>
    <w:p w14:paraId="74B8696F" w14:textId="66230609" w:rsidR="00000000" w:rsidRPr="005875F3" w:rsidRDefault="00C8000D" w:rsidP="005875F3">
      <w:pPr>
        <w:spacing w:after="0" w:line="240" w:lineRule="auto"/>
        <w:ind w:leftChars="0" w:left="2" w:hanging="2"/>
        <w:jc w:val="both"/>
        <w:rPr>
          <w:rFonts w:ascii="Goudy Old Style" w:eastAsia="Times New Roman" w:hAnsi="Goudy Old Style" w:cs="Times New Roman"/>
        </w:rPr>
      </w:pPr>
      <m:oMath>
        <m:r>
          <m:rPr>
            <m:nor/>
          </m:rPr>
          <w:rPr>
            <w:rFonts w:ascii="Cambria Math" w:hAnsi="Cambria Math"/>
          </w:rPr>
          <m:t> Fitness </m:t>
        </m:r>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nary>
        <m:r>
          <m:rPr>
            <m:sty m:val="p"/>
          </m:rPr>
          <w:rPr>
            <w:rFonts w:ascii="Cambria Math" w:hAnsi="Cambria Math"/>
          </w:rPr>
          <m:t> </m:t>
        </m:r>
        <m:r>
          <m:rPr>
            <m:sty m:val="p"/>
          </m:rPr>
          <w:rPr>
            <w:rFonts w:ascii="Cambria Math"/>
          </w:rPr>
          <m:t xml:space="preserve"> </m:t>
        </m:r>
        <m:sSup>
          <m:sSupPr>
            <m:ctrlPr>
              <w:rPr>
                <w:rFonts w:ascii="Cambria Math" w:hAnsi="Cambria Math"/>
              </w:rPr>
            </m:ctrlPr>
          </m:sSupPr>
          <m:e>
            <m:d>
              <m:dPr>
                <m:ctrlPr>
                  <w:rPr>
                    <w:rFonts w:ascii="Cambria Math" w:hAnsi="Cambria Math"/>
                  </w:rPr>
                </m:ctrlPr>
              </m:dPr>
              <m:e>
                <m:r>
                  <w:rPr>
                    <w:rFonts w:ascii="Cambria Math" w:hAnsi="Cambria Math"/>
                  </w:rPr>
                  <m:t>GRC</m:t>
                </m:r>
                <m:d>
                  <m:dPr>
                    <m:ctrlPr>
                      <w:rPr>
                        <w:rFonts w:ascii="Cambria Math" w:hAnsi="Cambria Math"/>
                      </w:rPr>
                    </m:ctrlPr>
                  </m:dPr>
                  <m:e>
                    <m:sSub>
                      <m:sSubPr>
                        <m:ctrlPr>
                          <w:rPr>
                            <w:rFonts w:ascii="Cambria Math" w:hAnsi="Cambria Math"/>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r>
                      <m:rPr>
                        <m:sty m:val="p"/>
                      </m:rPr>
                      <w:rPr>
                        <w:rFonts w:ascii="Cambria Math" w:hAnsi="Cambria Math"/>
                      </w:rPr>
                      <m:t>,</m:t>
                    </m:r>
                    <m:sSub>
                      <m:sSubPr>
                        <m:ctrlPr>
                          <w:rPr>
                            <w:rFonts w:ascii="Cambria Math" w:hAnsi="Cambria Math"/>
                          </w:rPr>
                        </m:ctrlPr>
                      </m:sSubPr>
                      <m:e>
                        <m:r>
                          <w:rPr>
                            <w:rFonts w:ascii="Cambria Math" w:hAnsi="Cambria Math"/>
                          </w:rPr>
                          <m:t>X</m:t>
                        </m:r>
                        <m:ctrlPr>
                          <w:rPr>
                            <w:rFonts w:ascii="Cambria Math" w:hAnsi="Cambria Math"/>
                            <w:i/>
                          </w:rPr>
                        </m:ctrlPr>
                      </m:e>
                      <m:sub>
                        <m:r>
                          <m:rPr>
                            <m:sty m:val="p"/>
                          </m:rPr>
                          <w:rPr>
                            <w:rFonts w:ascii="Cambria Math" w:hAnsi="Cambria Math"/>
                          </w:rPr>
                          <m:t>0</m:t>
                        </m:r>
                      </m:sub>
                    </m:sSub>
                  </m:e>
                </m:d>
                <m:r>
                  <m:rPr>
                    <m:sty m:val="p"/>
                  </m:rPr>
                  <w:rPr>
                    <w:rFonts w:ascii="Cambria Math" w:hAnsi="Cambria Math"/>
                  </w:rPr>
                  <m:t>-</m:t>
                </m:r>
                <m:r>
                  <w:rPr>
                    <w:rFonts w:ascii="Cambria Math" w:hAnsi="Cambria Math"/>
                  </w:rPr>
                  <m:t>GR</m:t>
                </m:r>
                <m:sSub>
                  <m:sSubPr>
                    <m:ctrlPr>
                      <w:rPr>
                        <w:rFonts w:ascii="Cambria Math" w:hAnsi="Cambria Math"/>
                      </w:rPr>
                    </m:ctrlPr>
                  </m:sSubPr>
                  <m:e>
                    <m:r>
                      <w:rPr>
                        <w:rFonts w:ascii="Cambria Math" w:hAnsi="Cambria Math"/>
                      </w:rPr>
                      <m:t>C</m:t>
                    </m:r>
                    <m:ctrlPr>
                      <w:rPr>
                        <w:rFonts w:ascii="Cambria Math" w:hAnsi="Cambria Math"/>
                        <w:i/>
                      </w:rPr>
                    </m:ctrlPr>
                  </m:e>
                  <m:sub>
                    <m:r>
                      <m:rPr>
                        <m:nor/>
                      </m:rPr>
                      <w:rPr>
                        <w:rFonts w:ascii="Cambria Math" w:hAnsi="Cambria Math"/>
                      </w:rPr>
                      <m:t>target </m:t>
                    </m:r>
                  </m:sub>
                </m:sSub>
              </m:e>
            </m:d>
          </m:e>
          <m:sup>
            <m:r>
              <m:rPr>
                <m:sty m:val="p"/>
              </m:rPr>
              <w:rPr>
                <w:rFonts w:ascii="Cambria Math" w:hAnsi="Cambria Math"/>
              </w:rPr>
              <m:t>2</m:t>
            </m:r>
          </m:sup>
        </m:sSup>
      </m:oMath>
      <w:r w:rsidR="00000000" w:rsidRPr="005875F3">
        <w:rPr>
          <w:rFonts w:ascii="Goudy Old Style" w:hAnsi="Goudy Old Style"/>
        </w:rPr>
        <w:tab/>
      </w:r>
      <w:r w:rsidR="00000000" w:rsidRPr="005875F3">
        <w:rPr>
          <w:rFonts w:ascii="Goudy Old Style" w:hAnsi="Goudy Old Style"/>
        </w:rPr>
        <w:tab/>
      </w:r>
      <w:r w:rsidR="00000000" w:rsidRPr="005875F3">
        <w:rPr>
          <w:rFonts w:ascii="Goudy Old Style" w:hAnsi="Goudy Old Style"/>
          <w:b/>
        </w:rPr>
        <w:t>(3)</w:t>
      </w:r>
    </w:p>
    <w:p w14:paraId="61B1C3EE"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sz w:val="22"/>
          <w:szCs w:val="22"/>
        </w:rPr>
      </w:pPr>
      <w:r w:rsidRPr="005875F3">
        <w:rPr>
          <w:rStyle w:val="Strong"/>
          <w:rFonts w:ascii="Goudy Old Style" w:hAnsi="Goudy Old Style"/>
          <w:b/>
          <w:bCs/>
          <w:sz w:val="22"/>
          <w:szCs w:val="22"/>
        </w:rPr>
        <w:t>Where:</w:t>
      </w:r>
    </w:p>
    <w:p w14:paraId="7BB65DFE" w14:textId="77777777" w:rsidR="00000000" w:rsidRPr="005875F3" w:rsidRDefault="00000000" w:rsidP="005875F3">
      <w:pPr>
        <w:pStyle w:val="NormalWeb"/>
        <w:numPr>
          <w:ilvl w:val="0"/>
          <w:numId w:val="3"/>
        </w:numPr>
        <w:tabs>
          <w:tab w:val="left" w:pos="720"/>
        </w:tabs>
        <w:suppressAutoHyphens w:val="0"/>
        <w:spacing w:before="0" w:beforeAutospacing="0" w:after="0" w:afterAutospacing="0"/>
        <w:ind w:leftChars="0" w:left="2" w:hanging="2"/>
        <w:jc w:val="both"/>
        <w:textAlignment w:val="auto"/>
        <w:outlineLvl w:val="9"/>
        <w:rPr>
          <w:rFonts w:ascii="Goudy Old Style" w:hAnsi="Goudy Old Style"/>
          <w:sz w:val="22"/>
          <w:szCs w:val="22"/>
        </w:rPr>
      </w:pPr>
      <w:r w:rsidRPr="005875F3">
        <w:rPr>
          <w:rStyle w:val="Strong"/>
          <w:rFonts w:ascii="Goudy Old Style" w:hAnsi="Goudy Old Style"/>
          <w:sz w:val="22"/>
          <w:szCs w:val="22"/>
        </w:rPr>
        <w:t>X</w:t>
      </w:r>
      <w:r w:rsidRPr="005875F3">
        <w:rPr>
          <w:rStyle w:val="Strong"/>
          <w:rFonts w:cs="Times New Roman"/>
          <w:sz w:val="22"/>
          <w:szCs w:val="22"/>
        </w:rPr>
        <w:t>ᵢ</w:t>
      </w:r>
      <w:r w:rsidRPr="005875F3">
        <w:rPr>
          <w:rFonts w:ascii="Goudy Old Style" w:hAnsi="Goudy Old Style"/>
          <w:sz w:val="22"/>
          <w:szCs w:val="22"/>
        </w:rPr>
        <w:t xml:space="preserve"> represents the selected features.</w:t>
      </w:r>
    </w:p>
    <w:p w14:paraId="1E40E5FE" w14:textId="77777777" w:rsidR="00000000" w:rsidRPr="005875F3" w:rsidRDefault="00000000" w:rsidP="005875F3">
      <w:pPr>
        <w:pStyle w:val="NormalWeb"/>
        <w:numPr>
          <w:ilvl w:val="0"/>
          <w:numId w:val="3"/>
        </w:numPr>
        <w:tabs>
          <w:tab w:val="left" w:pos="720"/>
        </w:tabs>
        <w:suppressAutoHyphens w:val="0"/>
        <w:spacing w:before="0" w:beforeAutospacing="0" w:after="0" w:afterAutospacing="0"/>
        <w:ind w:leftChars="0" w:left="2" w:hanging="2"/>
        <w:jc w:val="both"/>
        <w:textAlignment w:val="auto"/>
        <w:outlineLvl w:val="9"/>
        <w:rPr>
          <w:rFonts w:ascii="Goudy Old Style" w:hAnsi="Goudy Old Style"/>
          <w:sz w:val="22"/>
          <w:szCs w:val="22"/>
        </w:rPr>
      </w:pPr>
      <w:r w:rsidRPr="005875F3">
        <w:rPr>
          <w:rStyle w:val="Strong"/>
          <w:rFonts w:ascii="Goudy Old Style" w:hAnsi="Goudy Old Style"/>
          <w:sz w:val="22"/>
          <w:szCs w:val="22"/>
        </w:rPr>
        <w:t>GRC</w:t>
      </w:r>
      <w:r w:rsidRPr="005875F3">
        <w:rPr>
          <w:rStyle w:val="Strong"/>
          <w:rFonts w:ascii="Cambria Math" w:hAnsi="Cambria Math" w:cs="Cambria Math"/>
          <w:sz w:val="22"/>
          <w:szCs w:val="22"/>
        </w:rPr>
        <w:t>ₜₐᵣ₉ₑₜ</w:t>
      </w:r>
      <w:r w:rsidRPr="005875F3">
        <w:rPr>
          <w:rFonts w:ascii="Goudy Old Style" w:hAnsi="Goudy Old Style"/>
          <w:sz w:val="22"/>
          <w:szCs w:val="22"/>
        </w:rPr>
        <w:t xml:space="preserve"> is the desired GRC value based on the classification goal.</w:t>
      </w:r>
    </w:p>
    <w:p w14:paraId="3AC3F98C" w14:textId="77777777" w:rsidR="00000000" w:rsidRPr="005875F3" w:rsidRDefault="00000000" w:rsidP="005875F3">
      <w:pPr>
        <w:spacing w:after="0" w:line="240" w:lineRule="auto"/>
        <w:ind w:leftChars="0" w:left="2" w:hanging="2"/>
        <w:jc w:val="both"/>
        <w:outlineLvl w:val="3"/>
        <w:rPr>
          <w:rFonts w:ascii="Goudy Old Style" w:eastAsia="Times New Roman" w:hAnsi="Goudy Old Style" w:cs="Times New Roman"/>
          <w:b/>
          <w:bCs/>
        </w:rPr>
      </w:pPr>
      <w:r w:rsidRPr="005875F3">
        <w:rPr>
          <w:rFonts w:ascii="Goudy Old Style" w:eastAsia="Times New Roman" w:hAnsi="Goudy Old Style" w:cs="Times New Roman"/>
          <w:b/>
          <w:bCs/>
        </w:rPr>
        <w:t>Step 2: Run GWO Optimization</w:t>
      </w:r>
    </w:p>
    <w:p w14:paraId="0B493326"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b w:val="0"/>
          <w:bCs w:val="0"/>
          <w:sz w:val="22"/>
          <w:szCs w:val="22"/>
        </w:rPr>
      </w:pPr>
      <w:r w:rsidRPr="005875F3">
        <w:rPr>
          <w:rFonts w:ascii="Goudy Old Style" w:hAnsi="Goudy Old Style" w:cs="Times New Roman"/>
          <w:b w:val="0"/>
          <w:bCs w:val="0"/>
          <w:sz w:val="22"/>
          <w:szCs w:val="22"/>
        </w:rPr>
        <w:t>The GWO algorithm will adjust ‘</w:t>
      </w:r>
      <w:r w:rsidRPr="005875F3">
        <w:rPr>
          <w:rFonts w:ascii="Cambria" w:hAnsi="Cambria" w:cs="Cambria"/>
          <w:b w:val="0"/>
          <w:bCs w:val="0"/>
          <w:sz w:val="22"/>
          <w:szCs w:val="22"/>
        </w:rPr>
        <w:t>ζ</w:t>
      </w:r>
      <w:r w:rsidRPr="005875F3">
        <w:rPr>
          <w:rFonts w:ascii="Goudy Old Style" w:hAnsi="Goudy Old Style" w:cs="Goudy Old Style"/>
          <w:b w:val="0"/>
          <w:bCs w:val="0"/>
          <w:sz w:val="22"/>
          <w:szCs w:val="22"/>
        </w:rPr>
        <w:t>’</w:t>
      </w:r>
      <w:r w:rsidRPr="005875F3">
        <w:rPr>
          <w:rFonts w:ascii="Goudy Old Style" w:eastAsia="Calibri" w:hAnsi="Goudy Old Style"/>
          <w:b w:val="0"/>
          <w:bCs w:val="0"/>
          <w:sz w:val="22"/>
          <w:szCs w:val="22"/>
        </w:rPr>
        <w:t xml:space="preserve"> </w:t>
      </w:r>
      <w:r w:rsidRPr="005875F3">
        <w:rPr>
          <w:rFonts w:ascii="Goudy Old Style" w:hAnsi="Goudy Old Style" w:cs="Times New Roman"/>
          <w:b w:val="0"/>
          <w:bCs w:val="0"/>
          <w:sz w:val="22"/>
          <w:szCs w:val="22"/>
        </w:rPr>
        <w:t xml:space="preserve">and the feature weights iteratively based on the evaluation of the fitness function. In the parameter space, the wolves in the algorithm try to find a value set that would yield the least classification error. This optimization process will increase the accuracy of the model when classifying the diabetic patients.  </w:t>
      </w:r>
    </w:p>
    <w:p w14:paraId="123BF0A1"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bCs w:val="0"/>
          <w:sz w:val="22"/>
          <w:szCs w:val="22"/>
        </w:rPr>
      </w:pPr>
      <w:r w:rsidRPr="005875F3">
        <w:rPr>
          <w:rFonts w:ascii="Goudy Old Style" w:hAnsi="Goudy Old Style" w:cs="Times New Roman"/>
          <w:bCs w:val="0"/>
          <w:sz w:val="22"/>
          <w:szCs w:val="22"/>
        </w:rPr>
        <w:t xml:space="preserve">Step 3: Use the Optimized Parameters  </w:t>
      </w:r>
    </w:p>
    <w:p w14:paraId="208B1054"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b w:val="0"/>
          <w:bCs w:val="0"/>
          <w:sz w:val="22"/>
          <w:szCs w:val="22"/>
        </w:rPr>
      </w:pPr>
      <w:r w:rsidRPr="005875F3">
        <w:rPr>
          <w:rFonts w:ascii="Goudy Old Style" w:hAnsi="Goudy Old Style" w:cs="Times New Roman"/>
          <w:b w:val="0"/>
          <w:bCs w:val="0"/>
          <w:sz w:val="22"/>
          <w:szCs w:val="22"/>
        </w:rPr>
        <w:t>The optimized values will first be accomplished with the GWO, after which these parameters will be utilized on the GRA classification model. With the optimized parameters, performance will be enhanced due to their relevance and thus having the greatest effect on the classification result.</w:t>
      </w:r>
    </w:p>
    <w:p w14:paraId="64B14F76" w14:textId="77777777" w:rsidR="005875F3" w:rsidRDefault="005875F3" w:rsidP="005875F3">
      <w:pPr>
        <w:spacing w:after="0" w:line="240" w:lineRule="auto"/>
        <w:ind w:leftChars="0" w:left="2" w:hanging="2"/>
        <w:jc w:val="both"/>
        <w:outlineLvl w:val="2"/>
        <w:rPr>
          <w:rFonts w:ascii="Goudy Old Style" w:eastAsia="Times New Roman" w:hAnsi="Goudy Old Style" w:cs="Times New Roman"/>
          <w:b/>
          <w:bCs/>
        </w:rPr>
      </w:pPr>
    </w:p>
    <w:p w14:paraId="11FE3711" w14:textId="690CD17A" w:rsidR="00000000" w:rsidRPr="005875F3" w:rsidRDefault="00000000" w:rsidP="005875F3">
      <w:pPr>
        <w:spacing w:after="0" w:line="240" w:lineRule="auto"/>
        <w:ind w:leftChars="0" w:left="2" w:hanging="2"/>
        <w:jc w:val="both"/>
        <w:outlineLvl w:val="2"/>
        <w:rPr>
          <w:rFonts w:ascii="Goudy Old Style" w:eastAsia="Times New Roman" w:hAnsi="Goudy Old Style" w:cs="Times New Roman"/>
          <w:b/>
          <w:bCs/>
        </w:rPr>
      </w:pPr>
      <w:r w:rsidRPr="005875F3">
        <w:rPr>
          <w:rFonts w:ascii="Goudy Old Style" w:eastAsia="Times New Roman" w:hAnsi="Goudy Old Style" w:cs="Times New Roman"/>
          <w:b/>
          <w:bCs/>
        </w:rPr>
        <w:t xml:space="preserve">4. </w:t>
      </w:r>
      <w:r w:rsidR="005875F3" w:rsidRPr="005875F3">
        <w:rPr>
          <w:rFonts w:ascii="Goudy Old Style" w:eastAsia="Times New Roman" w:hAnsi="Goudy Old Style" w:cs="Times New Roman"/>
          <w:b/>
          <w:bCs/>
        </w:rPr>
        <w:t xml:space="preserve">IMPLEMENTATION AND RESULTS </w:t>
      </w:r>
    </w:p>
    <w:p w14:paraId="609344C4"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b w:val="0"/>
          <w:bCs w:val="0"/>
          <w:position w:val="0"/>
          <w:sz w:val="22"/>
          <w:szCs w:val="22"/>
        </w:rPr>
      </w:pPr>
      <w:r w:rsidRPr="005875F3">
        <w:rPr>
          <w:rFonts w:ascii="Goudy Old Style" w:hAnsi="Goudy Old Style" w:cs="Times New Roman"/>
          <w:b w:val="0"/>
          <w:bCs w:val="0"/>
          <w:position w:val="0"/>
          <w:sz w:val="22"/>
          <w:szCs w:val="22"/>
        </w:rPr>
        <w:t>It will require utilizing the Diabetes 130-US Hospitals dataset in combination with machine learning models (preferably, different classes of classifier) predicting the readmission of the diabetic patients, specifically focusing on feature selection and model optimization in order to achieve an optimal level of accuracy. Grey Relational Analysis (GRA) method is applied to feature selection in order to prioritize the features according to their relevance to the goal variable, patient readmission, since their relationship is taken as a priority. Grey Wolf Optimisation (GWO) is used to optimise the hyperparameters of the classifiers and subsequently enhance performance of the models. Several different classifiers are trained and tested on the data with Support Vector Classifier (SVC), Decision Tree (DT), K-Nearest Neighbours (KNN), Logistic Regression (LR), Random Forest (RF), AdaBoost and Gradient Boosting (GB) being used as well as the Hybrid Model that incorporated Random Forest, SVM, and XGBoost to make a comparison. The models will be trained using a preprocessed dataset that was created with normalized attributes to enable faster convergence of the models. To measure the performance of the models, metrics such as accuracy, precision, recall, F1 score among others are applied and the resulting values are compared to determine how the models can be enhanced by using GRA and GWO. Findings indicated that the GRA + GWO optimized model performed the best compared to other conventional models and had better success rate in predicting the short period and long term readmissions.</w:t>
      </w:r>
    </w:p>
    <w:p w14:paraId="0CC1F8E2"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bCs w:val="0"/>
          <w:sz w:val="22"/>
          <w:szCs w:val="22"/>
        </w:rPr>
      </w:pPr>
      <w:r w:rsidRPr="005875F3">
        <w:rPr>
          <w:rFonts w:ascii="Goudy Old Style" w:hAnsi="Goudy Old Style" w:cs="Times New Roman"/>
          <w:bCs w:val="0"/>
          <w:sz w:val="22"/>
          <w:szCs w:val="22"/>
        </w:rPr>
        <w:t xml:space="preserve">4.1 Model Evaluation and Comparison with Traditional Classifiers  </w:t>
      </w:r>
    </w:p>
    <w:p w14:paraId="0875BC3D"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b w:val="0"/>
          <w:bCs w:val="0"/>
          <w:sz w:val="22"/>
          <w:szCs w:val="22"/>
        </w:rPr>
      </w:pPr>
      <w:r w:rsidRPr="005875F3">
        <w:rPr>
          <w:rFonts w:ascii="Goudy Old Style" w:hAnsi="Goudy Old Style" w:cs="Times New Roman"/>
          <w:b w:val="0"/>
          <w:bCs w:val="0"/>
          <w:sz w:val="22"/>
          <w:szCs w:val="22"/>
        </w:rPr>
        <w:lastRenderedPageBreak/>
        <w:t>The effectiveness of GRA-based classification model which is optimized by GWO will be assessed using the fundamental performances including: accuracy, precision, recall and F1-score. The performance will be assessed against the conventional machine learning models.</w:t>
      </w:r>
    </w:p>
    <w:p w14:paraId="27C3243D"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b w:val="0"/>
          <w:bCs w:val="0"/>
          <w:sz w:val="22"/>
          <w:szCs w:val="22"/>
        </w:rPr>
      </w:pPr>
      <w:r w:rsidRPr="005875F3">
        <w:rPr>
          <w:rFonts w:ascii="Goudy Old Style" w:hAnsi="Goudy Old Style" w:cs="Times New Roman"/>
          <w:b w:val="0"/>
          <w:bCs w:val="0"/>
          <w:sz w:val="22"/>
          <w:szCs w:val="22"/>
        </w:rPr>
        <w:t>In assessing the effectiveness of the GRA-based classification model optimized by GWO, the basic computational accuracy, precision, recall, and F1-score benchmarks are referenced. These parameters are represented below:</w:t>
      </w:r>
    </w:p>
    <w:p w14:paraId="0451F4DB"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sz w:val="22"/>
          <w:szCs w:val="22"/>
        </w:rPr>
      </w:pPr>
      <w:r w:rsidRPr="005875F3">
        <w:rPr>
          <w:rFonts w:ascii="Goudy Old Style" w:hAnsi="Goudy Old Style" w:cs="Times New Roman"/>
          <w:sz w:val="22"/>
          <w:szCs w:val="22"/>
        </w:rPr>
        <w:t xml:space="preserve">a) </w:t>
      </w:r>
      <w:r w:rsidRPr="005875F3">
        <w:rPr>
          <w:rStyle w:val="Strong"/>
          <w:rFonts w:ascii="Goudy Old Style" w:hAnsi="Goudy Old Style" w:cs="Times New Roman"/>
          <w:b/>
          <w:bCs/>
          <w:sz w:val="22"/>
          <w:szCs w:val="22"/>
        </w:rPr>
        <w:t>Accuracy</w:t>
      </w:r>
    </w:p>
    <w:p w14:paraId="572B2DFA"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Accuracy measures the proportion of correctly predicted instances (both positive and negative) out of the total number of instances.</w:t>
      </w:r>
    </w:p>
    <w:p w14:paraId="2E8FC768"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rPr>
        <w:pict w14:anchorId="378F2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60" type="#_x0000_t75" style="width:170.4pt;height:41.4pt;mso-wrap-style:square;mso-position-horizontal-relative:page;mso-position-vertical-relative:page" equationxml="&lt;">
            <v:imagedata r:id="rId15" o:title="" chromakey="white"/>
          </v:shape>
        </w:pict>
      </w:r>
      <w:r w:rsidRPr="005875F3">
        <w:rPr>
          <w:rFonts w:ascii="Goudy Old Style" w:hAnsi="Goudy Old Style"/>
        </w:rPr>
        <w:tab/>
      </w:r>
      <w:r w:rsidRPr="005875F3">
        <w:rPr>
          <w:rFonts w:ascii="Goudy Old Style" w:hAnsi="Goudy Old Style"/>
        </w:rPr>
        <w:tab/>
      </w:r>
      <w:r w:rsidRPr="005875F3">
        <w:rPr>
          <w:rFonts w:ascii="Goudy Old Style" w:hAnsi="Goudy Old Style"/>
          <w:b/>
        </w:rPr>
        <w:t>(4)</w:t>
      </w:r>
    </w:p>
    <w:p w14:paraId="5CE1B6B9"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Where:</w:t>
      </w:r>
    </w:p>
    <w:p w14:paraId="5A2BBE28" w14:textId="77777777" w:rsidR="00000000" w:rsidRPr="005875F3" w:rsidRDefault="00000000" w:rsidP="005875F3">
      <w:pPr>
        <w:numPr>
          <w:ilvl w:val="0"/>
          <w:numId w:val="4"/>
        </w:numPr>
        <w:tabs>
          <w:tab w:val="left" w:pos="720"/>
        </w:tabs>
        <w:suppressAutoHyphens w:val="0"/>
        <w:spacing w:after="0" w:line="240" w:lineRule="auto"/>
        <w:ind w:leftChars="0" w:left="2" w:hanging="2"/>
        <w:jc w:val="both"/>
        <w:textAlignment w:val="auto"/>
        <w:outlineLvl w:val="9"/>
        <w:rPr>
          <w:rFonts w:ascii="Goudy Old Style" w:hAnsi="Goudy Old Style" w:cs="Times New Roman"/>
        </w:rPr>
      </w:pPr>
      <w:r w:rsidRPr="005875F3">
        <w:rPr>
          <w:rStyle w:val="Strong"/>
          <w:rFonts w:ascii="Goudy Old Style" w:hAnsi="Goudy Old Style" w:cs="Times New Roman"/>
        </w:rPr>
        <w:t>TP</w:t>
      </w:r>
      <w:r w:rsidRPr="005875F3">
        <w:rPr>
          <w:rFonts w:ascii="Goudy Old Style" w:hAnsi="Goudy Old Style" w:cs="Times New Roman"/>
        </w:rPr>
        <w:t xml:space="preserve"> = True Positives (correctly predicted positive cases)</w:t>
      </w:r>
    </w:p>
    <w:p w14:paraId="5B2AF466" w14:textId="77777777" w:rsidR="00000000" w:rsidRPr="005875F3" w:rsidRDefault="00000000" w:rsidP="005875F3">
      <w:pPr>
        <w:numPr>
          <w:ilvl w:val="0"/>
          <w:numId w:val="4"/>
        </w:numPr>
        <w:tabs>
          <w:tab w:val="left" w:pos="720"/>
        </w:tabs>
        <w:suppressAutoHyphens w:val="0"/>
        <w:spacing w:after="0" w:line="240" w:lineRule="auto"/>
        <w:ind w:leftChars="0" w:left="2" w:hanging="2"/>
        <w:jc w:val="both"/>
        <w:textAlignment w:val="auto"/>
        <w:outlineLvl w:val="9"/>
        <w:rPr>
          <w:rFonts w:ascii="Goudy Old Style" w:hAnsi="Goudy Old Style" w:cs="Times New Roman"/>
        </w:rPr>
      </w:pPr>
      <w:r w:rsidRPr="005875F3">
        <w:rPr>
          <w:rStyle w:val="Strong"/>
          <w:rFonts w:ascii="Goudy Old Style" w:hAnsi="Goudy Old Style" w:cs="Times New Roman"/>
        </w:rPr>
        <w:t>TN</w:t>
      </w:r>
      <w:r w:rsidRPr="005875F3">
        <w:rPr>
          <w:rFonts w:ascii="Goudy Old Style" w:hAnsi="Goudy Old Style" w:cs="Times New Roman"/>
        </w:rPr>
        <w:t xml:space="preserve"> = True Negatives (correctly predicted negative cases)</w:t>
      </w:r>
    </w:p>
    <w:p w14:paraId="19EECE2A" w14:textId="77777777" w:rsidR="00000000" w:rsidRPr="005875F3" w:rsidRDefault="00000000" w:rsidP="005875F3">
      <w:pPr>
        <w:numPr>
          <w:ilvl w:val="0"/>
          <w:numId w:val="4"/>
        </w:numPr>
        <w:tabs>
          <w:tab w:val="left" w:pos="720"/>
        </w:tabs>
        <w:suppressAutoHyphens w:val="0"/>
        <w:spacing w:after="0" w:line="240" w:lineRule="auto"/>
        <w:ind w:leftChars="0" w:left="2" w:hanging="2"/>
        <w:jc w:val="both"/>
        <w:textAlignment w:val="auto"/>
        <w:outlineLvl w:val="9"/>
        <w:rPr>
          <w:rFonts w:ascii="Goudy Old Style" w:hAnsi="Goudy Old Style" w:cs="Times New Roman"/>
        </w:rPr>
      </w:pPr>
      <w:r w:rsidRPr="005875F3">
        <w:rPr>
          <w:rStyle w:val="Strong"/>
          <w:rFonts w:ascii="Goudy Old Style" w:hAnsi="Goudy Old Style" w:cs="Times New Roman"/>
        </w:rPr>
        <w:t>FP</w:t>
      </w:r>
      <w:r w:rsidRPr="005875F3">
        <w:rPr>
          <w:rFonts w:ascii="Goudy Old Style" w:hAnsi="Goudy Old Style" w:cs="Times New Roman"/>
        </w:rPr>
        <w:t xml:space="preserve"> = False Positives (incorrectly predicted as positive)</w:t>
      </w:r>
    </w:p>
    <w:p w14:paraId="7967E451" w14:textId="77777777" w:rsidR="00000000" w:rsidRPr="005875F3" w:rsidRDefault="00000000" w:rsidP="005875F3">
      <w:pPr>
        <w:numPr>
          <w:ilvl w:val="0"/>
          <w:numId w:val="4"/>
        </w:numPr>
        <w:tabs>
          <w:tab w:val="left" w:pos="720"/>
        </w:tabs>
        <w:suppressAutoHyphens w:val="0"/>
        <w:spacing w:after="0" w:line="240" w:lineRule="auto"/>
        <w:ind w:leftChars="0" w:left="2" w:hanging="2"/>
        <w:jc w:val="both"/>
        <w:textAlignment w:val="auto"/>
        <w:outlineLvl w:val="9"/>
        <w:rPr>
          <w:rFonts w:ascii="Goudy Old Style" w:hAnsi="Goudy Old Style" w:cs="Times New Roman"/>
        </w:rPr>
      </w:pPr>
      <w:r w:rsidRPr="005875F3">
        <w:rPr>
          <w:rStyle w:val="Strong"/>
          <w:rFonts w:ascii="Goudy Old Style" w:hAnsi="Goudy Old Style" w:cs="Times New Roman"/>
        </w:rPr>
        <w:t>FN</w:t>
      </w:r>
      <w:r w:rsidRPr="005875F3">
        <w:rPr>
          <w:rFonts w:ascii="Goudy Old Style" w:hAnsi="Goudy Old Style" w:cs="Times New Roman"/>
        </w:rPr>
        <w:t xml:space="preserve"> = False Negatives (incorrectly predicted as negative)</w:t>
      </w:r>
    </w:p>
    <w:p w14:paraId="21AEE712"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sz w:val="22"/>
          <w:szCs w:val="22"/>
        </w:rPr>
      </w:pPr>
      <w:r w:rsidRPr="005875F3">
        <w:rPr>
          <w:rFonts w:ascii="Goudy Old Style" w:hAnsi="Goudy Old Style" w:cs="Times New Roman"/>
          <w:sz w:val="22"/>
          <w:szCs w:val="22"/>
        </w:rPr>
        <w:t xml:space="preserve">b) </w:t>
      </w:r>
      <w:r w:rsidRPr="005875F3">
        <w:rPr>
          <w:rStyle w:val="Strong"/>
          <w:rFonts w:ascii="Goudy Old Style" w:hAnsi="Goudy Old Style" w:cs="Times New Roman"/>
          <w:b/>
          <w:bCs/>
          <w:sz w:val="22"/>
          <w:szCs w:val="22"/>
        </w:rPr>
        <w:t>Precision</w:t>
      </w:r>
    </w:p>
    <w:p w14:paraId="4DE369E4"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Precision measures the proportion of true positive predictions among all predicted positive cases. It indicates the accuracy of positive predictions.</w:t>
      </w:r>
    </w:p>
    <w:p w14:paraId="28622D31"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rPr>
        <w:pict w14:anchorId="0AF9DBC6">
          <v:shape id="Picture 5" o:spid="_x0000_i1061" type="#_x0000_t75" style="width:107.4pt;height:41.4pt;mso-wrap-style:square;mso-position-horizontal-relative:page;mso-position-vertical-relative:page" equationxml="&lt;">
            <v:imagedata r:id="rId16" o:title="" chromakey="white"/>
          </v:shape>
        </w:pict>
      </w:r>
      <w:r w:rsidRPr="005875F3">
        <w:rPr>
          <w:rFonts w:ascii="Goudy Old Style" w:hAnsi="Goudy Old Style"/>
        </w:rPr>
        <w:tab/>
      </w:r>
      <w:r w:rsidRPr="005875F3">
        <w:rPr>
          <w:rFonts w:ascii="Goudy Old Style" w:hAnsi="Goudy Old Style"/>
        </w:rPr>
        <w:tab/>
      </w:r>
      <w:r w:rsidRPr="005875F3">
        <w:rPr>
          <w:rFonts w:ascii="Goudy Old Style" w:hAnsi="Goudy Old Style"/>
        </w:rPr>
        <w:tab/>
      </w:r>
      <w:r w:rsidRPr="005875F3">
        <w:rPr>
          <w:rFonts w:ascii="Goudy Old Style" w:hAnsi="Goudy Old Style"/>
          <w:b/>
        </w:rPr>
        <w:t>(5)</w:t>
      </w:r>
    </w:p>
    <w:p w14:paraId="596C70B7"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sz w:val="22"/>
          <w:szCs w:val="22"/>
        </w:rPr>
      </w:pPr>
      <w:r w:rsidRPr="005875F3">
        <w:rPr>
          <w:rFonts w:ascii="Goudy Old Style" w:hAnsi="Goudy Old Style" w:cs="Times New Roman"/>
          <w:sz w:val="22"/>
          <w:szCs w:val="22"/>
        </w:rPr>
        <w:t xml:space="preserve">c) </w:t>
      </w:r>
      <w:r w:rsidRPr="005875F3">
        <w:rPr>
          <w:rStyle w:val="Strong"/>
          <w:rFonts w:ascii="Goudy Old Style" w:hAnsi="Goudy Old Style" w:cs="Times New Roman"/>
          <w:b/>
          <w:bCs/>
          <w:sz w:val="22"/>
          <w:szCs w:val="22"/>
        </w:rPr>
        <w:t>Recall (Sensitivity or True Positive Rate)</w:t>
      </w:r>
    </w:p>
    <w:p w14:paraId="302CF3FF"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Recall measures the proportion of true positive predictions among all actual positive cases. It indicates how well the model detects positive instances.</w:t>
      </w:r>
    </w:p>
    <w:p w14:paraId="47995D78"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Recall=TP/TP+FN</w:t>
      </w:r>
      <w:r w:rsidRPr="005875F3">
        <w:rPr>
          <w:rFonts w:ascii="Goudy Old Style" w:hAnsi="Goudy Old Style" w:cs="Times New Roman"/>
        </w:rPr>
        <w:tab/>
      </w:r>
      <w:r w:rsidRPr="005875F3">
        <w:rPr>
          <w:rFonts w:ascii="Goudy Old Style" w:hAnsi="Goudy Old Style" w:cs="Times New Roman"/>
        </w:rPr>
        <w:tab/>
      </w:r>
      <w:r w:rsidRPr="005875F3">
        <w:rPr>
          <w:rFonts w:ascii="Goudy Old Style" w:hAnsi="Goudy Old Style" w:cs="Times New Roman"/>
        </w:rPr>
        <w:tab/>
      </w:r>
      <w:r w:rsidRPr="005875F3">
        <w:rPr>
          <w:rFonts w:ascii="Goudy Old Style" w:hAnsi="Goudy Old Style" w:cs="Times New Roman"/>
          <w:b/>
        </w:rPr>
        <w:t>(6)</w:t>
      </w:r>
    </w:p>
    <w:p w14:paraId="61A3AAA5"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cs="Times New Roman"/>
          <w:sz w:val="22"/>
          <w:szCs w:val="22"/>
        </w:rPr>
      </w:pPr>
      <w:r w:rsidRPr="005875F3">
        <w:rPr>
          <w:rFonts w:ascii="Goudy Old Style" w:hAnsi="Goudy Old Style" w:cs="Times New Roman"/>
          <w:sz w:val="22"/>
          <w:szCs w:val="22"/>
        </w:rPr>
        <w:t xml:space="preserve">d) </w:t>
      </w:r>
      <w:r w:rsidRPr="005875F3">
        <w:rPr>
          <w:rStyle w:val="Strong"/>
          <w:rFonts w:ascii="Goudy Old Style" w:hAnsi="Goudy Old Style" w:cs="Times New Roman"/>
          <w:b/>
          <w:bCs/>
          <w:sz w:val="22"/>
          <w:szCs w:val="22"/>
        </w:rPr>
        <w:t>F1-Score</w:t>
      </w:r>
    </w:p>
    <w:p w14:paraId="5ED664EA"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The F1-score is the harmonic mean of precision and recall, providing a balance between the two metrics. It is particularly useful when dealing with imbalanced datasets.</w:t>
      </w:r>
    </w:p>
    <w:p w14:paraId="61EA5134"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rPr>
        <w:pict w14:anchorId="2E70FAC5">
          <v:shape id="Picture 6" o:spid="_x0000_i1062" type="#_x0000_t75" style="width:146.4pt;height:41.4pt;mso-wrap-style:square;mso-position-horizontal-relative:page;mso-position-vertical-relative:page" equationxml="&lt;">
            <v:imagedata r:id="rId17" o:title="" chromakey="white"/>
          </v:shape>
        </w:pict>
      </w:r>
      <w:r w:rsidRPr="005875F3">
        <w:rPr>
          <w:rFonts w:ascii="Goudy Old Style" w:hAnsi="Goudy Old Style"/>
        </w:rPr>
        <w:tab/>
      </w:r>
      <w:r w:rsidRPr="005875F3">
        <w:rPr>
          <w:rFonts w:ascii="Goudy Old Style" w:hAnsi="Goudy Old Style"/>
        </w:rPr>
        <w:tab/>
      </w:r>
      <w:r w:rsidRPr="005875F3">
        <w:rPr>
          <w:rFonts w:ascii="Goudy Old Style" w:hAnsi="Goudy Old Style"/>
        </w:rPr>
        <w:tab/>
        <w:t>(7)</w:t>
      </w:r>
    </w:p>
    <w:p w14:paraId="753A1CD1" w14:textId="77777777" w:rsidR="00000000" w:rsidRPr="005875F3" w:rsidRDefault="00000000" w:rsidP="005875F3">
      <w:pPr>
        <w:pStyle w:val="Heading3"/>
        <w:spacing w:before="0" w:beforeAutospacing="0" w:after="0" w:afterAutospacing="0"/>
        <w:ind w:leftChars="0" w:left="2" w:hanging="2"/>
        <w:jc w:val="both"/>
        <w:rPr>
          <w:rFonts w:ascii="Goudy Old Style" w:hAnsi="Goudy Old Style"/>
          <w:sz w:val="22"/>
          <w:szCs w:val="22"/>
        </w:rPr>
      </w:pPr>
      <w:r w:rsidRPr="005875F3">
        <w:rPr>
          <w:rFonts w:ascii="Goudy Old Style" w:hAnsi="Goudy Old Style"/>
          <w:sz w:val="22"/>
          <w:szCs w:val="22"/>
        </w:rPr>
        <w:t xml:space="preserve">Table 4: </w:t>
      </w:r>
      <w:r w:rsidRPr="005875F3">
        <w:rPr>
          <w:rFonts w:ascii="Goudy Old Style" w:hAnsi="Goudy Old Style"/>
          <w:b w:val="0"/>
          <w:sz w:val="22"/>
          <w:szCs w:val="22"/>
        </w:rPr>
        <w:t>Model Evaluation Metrics Comparison</w:t>
      </w:r>
    </w:p>
    <w:tbl>
      <w:tblPr>
        <w:tblW w:w="93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535"/>
        <w:gridCol w:w="1141"/>
        <w:gridCol w:w="1338"/>
        <w:gridCol w:w="1338"/>
        <w:gridCol w:w="1338"/>
        <w:gridCol w:w="1338"/>
        <w:gridCol w:w="1338"/>
      </w:tblGrid>
      <w:tr w:rsidR="00000000" w:rsidRPr="005875F3" w14:paraId="0391D476" w14:textId="77777777">
        <w:tc>
          <w:tcPr>
            <w:tcW w:w="1535" w:type="dxa"/>
            <w:vAlign w:val="center"/>
          </w:tcPr>
          <w:p w14:paraId="51707177" w14:textId="77777777" w:rsidR="00000000" w:rsidRPr="005875F3" w:rsidRDefault="00000000" w:rsidP="005875F3">
            <w:pPr>
              <w:spacing w:after="0" w:line="240" w:lineRule="auto"/>
              <w:ind w:leftChars="0" w:left="2" w:hanging="2"/>
              <w:jc w:val="both"/>
              <w:rPr>
                <w:rFonts w:ascii="Goudy Old Style" w:hAnsi="Goudy Old Style" w:cs="Times New Roman"/>
                <w:b/>
                <w:bCs/>
              </w:rPr>
            </w:pPr>
            <w:r w:rsidRPr="005875F3">
              <w:rPr>
                <w:rFonts w:ascii="Goudy Old Style" w:hAnsi="Goudy Old Style" w:cs="Times New Roman"/>
                <w:b/>
                <w:bCs/>
              </w:rPr>
              <w:t>Algorithm</w:t>
            </w:r>
          </w:p>
        </w:tc>
        <w:tc>
          <w:tcPr>
            <w:tcW w:w="1141" w:type="dxa"/>
            <w:vAlign w:val="center"/>
          </w:tcPr>
          <w:p w14:paraId="61BDBFAA" w14:textId="77777777" w:rsidR="00000000" w:rsidRPr="005875F3" w:rsidRDefault="00000000" w:rsidP="005875F3">
            <w:pPr>
              <w:spacing w:after="0" w:line="240" w:lineRule="auto"/>
              <w:ind w:leftChars="0" w:left="2" w:hanging="2"/>
              <w:jc w:val="both"/>
              <w:rPr>
                <w:rFonts w:ascii="Goudy Old Style" w:hAnsi="Goudy Old Style" w:cs="Times New Roman"/>
                <w:b/>
                <w:bCs/>
              </w:rPr>
            </w:pPr>
            <w:r w:rsidRPr="005875F3">
              <w:rPr>
                <w:rFonts w:ascii="Goudy Old Style" w:hAnsi="Goudy Old Style" w:cs="Times New Roman"/>
                <w:b/>
                <w:bCs/>
              </w:rPr>
              <w:t>GRA-Based Accuracy (%)</w:t>
            </w:r>
          </w:p>
        </w:tc>
        <w:tc>
          <w:tcPr>
            <w:tcW w:w="1338" w:type="dxa"/>
            <w:vAlign w:val="center"/>
          </w:tcPr>
          <w:p w14:paraId="476ECA01" w14:textId="77777777" w:rsidR="00000000" w:rsidRPr="005875F3" w:rsidRDefault="00000000" w:rsidP="005875F3">
            <w:pPr>
              <w:spacing w:after="0" w:line="240" w:lineRule="auto"/>
              <w:ind w:leftChars="0" w:left="2" w:hanging="2"/>
              <w:jc w:val="both"/>
              <w:rPr>
                <w:rFonts w:ascii="Goudy Old Style" w:hAnsi="Goudy Old Style" w:cs="Times New Roman"/>
                <w:b/>
                <w:bCs/>
              </w:rPr>
            </w:pPr>
            <w:r w:rsidRPr="005875F3">
              <w:rPr>
                <w:rFonts w:ascii="Goudy Old Style" w:hAnsi="Goudy Old Style" w:cs="Times New Roman"/>
                <w:b/>
                <w:bCs/>
              </w:rPr>
              <w:t>GRA + GWO Accuracy (%)</w:t>
            </w:r>
          </w:p>
        </w:tc>
        <w:tc>
          <w:tcPr>
            <w:tcW w:w="1338" w:type="dxa"/>
            <w:vAlign w:val="center"/>
          </w:tcPr>
          <w:p w14:paraId="00485BC3" w14:textId="77777777" w:rsidR="00000000" w:rsidRPr="005875F3" w:rsidRDefault="00000000" w:rsidP="005875F3">
            <w:pPr>
              <w:spacing w:after="0" w:line="240" w:lineRule="auto"/>
              <w:ind w:leftChars="0" w:left="2" w:hanging="2"/>
              <w:jc w:val="both"/>
              <w:rPr>
                <w:rFonts w:ascii="Goudy Old Style" w:hAnsi="Goudy Old Style" w:cs="Times New Roman"/>
                <w:b/>
                <w:bCs/>
              </w:rPr>
            </w:pPr>
            <w:r w:rsidRPr="005875F3">
              <w:rPr>
                <w:rFonts w:ascii="Goudy Old Style" w:hAnsi="Goudy Old Style" w:cs="Times New Roman"/>
                <w:b/>
                <w:bCs/>
              </w:rPr>
              <w:t>Precision (%)</w:t>
            </w:r>
          </w:p>
        </w:tc>
        <w:tc>
          <w:tcPr>
            <w:tcW w:w="1338" w:type="dxa"/>
            <w:vAlign w:val="center"/>
          </w:tcPr>
          <w:p w14:paraId="72F501AF" w14:textId="77777777" w:rsidR="00000000" w:rsidRPr="005875F3" w:rsidRDefault="00000000" w:rsidP="005875F3">
            <w:pPr>
              <w:spacing w:after="0" w:line="240" w:lineRule="auto"/>
              <w:ind w:leftChars="0" w:left="2" w:hanging="2"/>
              <w:jc w:val="both"/>
              <w:rPr>
                <w:rFonts w:ascii="Goudy Old Style" w:hAnsi="Goudy Old Style" w:cs="Times New Roman"/>
                <w:b/>
                <w:bCs/>
              </w:rPr>
            </w:pPr>
            <w:r w:rsidRPr="005875F3">
              <w:rPr>
                <w:rFonts w:ascii="Goudy Old Style" w:hAnsi="Goudy Old Style" w:cs="Times New Roman"/>
                <w:b/>
                <w:bCs/>
              </w:rPr>
              <w:t>Recall (%)</w:t>
            </w:r>
          </w:p>
        </w:tc>
        <w:tc>
          <w:tcPr>
            <w:tcW w:w="1338" w:type="dxa"/>
            <w:vAlign w:val="center"/>
          </w:tcPr>
          <w:p w14:paraId="3C4E791B" w14:textId="77777777" w:rsidR="00000000" w:rsidRPr="005875F3" w:rsidRDefault="00000000" w:rsidP="005875F3">
            <w:pPr>
              <w:spacing w:after="0" w:line="240" w:lineRule="auto"/>
              <w:ind w:leftChars="0" w:left="2" w:hanging="2"/>
              <w:jc w:val="both"/>
              <w:rPr>
                <w:rFonts w:ascii="Goudy Old Style" w:hAnsi="Goudy Old Style" w:cs="Times New Roman"/>
                <w:b/>
                <w:bCs/>
              </w:rPr>
            </w:pPr>
            <w:r w:rsidRPr="005875F3">
              <w:rPr>
                <w:rFonts w:ascii="Goudy Old Style" w:hAnsi="Goudy Old Style" w:cs="Times New Roman"/>
                <w:b/>
                <w:bCs/>
              </w:rPr>
              <w:t>F1-Score (%)</w:t>
            </w:r>
          </w:p>
        </w:tc>
        <w:tc>
          <w:tcPr>
            <w:tcW w:w="1338" w:type="dxa"/>
            <w:vAlign w:val="center"/>
          </w:tcPr>
          <w:p w14:paraId="2988E3A4" w14:textId="77777777" w:rsidR="00000000" w:rsidRPr="005875F3" w:rsidRDefault="00000000" w:rsidP="005875F3">
            <w:pPr>
              <w:spacing w:after="0" w:line="240" w:lineRule="auto"/>
              <w:ind w:leftChars="0" w:left="2" w:hanging="2"/>
              <w:jc w:val="both"/>
              <w:rPr>
                <w:rFonts w:ascii="Goudy Old Style" w:hAnsi="Goudy Old Style" w:cs="Times New Roman"/>
                <w:b/>
                <w:bCs/>
              </w:rPr>
            </w:pPr>
            <w:r w:rsidRPr="005875F3">
              <w:rPr>
                <w:rFonts w:ascii="Goudy Old Style" w:hAnsi="Goudy Old Style" w:cs="Times New Roman"/>
                <w:b/>
                <w:bCs/>
              </w:rPr>
              <w:t>Improvement (%)</w:t>
            </w:r>
          </w:p>
        </w:tc>
      </w:tr>
      <w:tr w:rsidR="00000000" w:rsidRPr="005875F3" w14:paraId="650BE0ED" w14:textId="77777777">
        <w:tc>
          <w:tcPr>
            <w:tcW w:w="1535" w:type="dxa"/>
            <w:vAlign w:val="center"/>
          </w:tcPr>
          <w:p w14:paraId="0C906A18"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Support Vector Classifier (SVC)</w:t>
            </w:r>
          </w:p>
        </w:tc>
        <w:tc>
          <w:tcPr>
            <w:tcW w:w="1141" w:type="dxa"/>
            <w:vAlign w:val="center"/>
          </w:tcPr>
          <w:p w14:paraId="1B42C92D"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86.3</w:t>
            </w:r>
          </w:p>
        </w:tc>
        <w:tc>
          <w:tcPr>
            <w:tcW w:w="1338" w:type="dxa"/>
            <w:vAlign w:val="center"/>
          </w:tcPr>
          <w:p w14:paraId="6C2C8E80"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88.5</w:t>
            </w:r>
          </w:p>
        </w:tc>
        <w:tc>
          <w:tcPr>
            <w:tcW w:w="1338" w:type="dxa"/>
            <w:vAlign w:val="center"/>
          </w:tcPr>
          <w:p w14:paraId="0463A576"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84.2</w:t>
            </w:r>
          </w:p>
        </w:tc>
        <w:tc>
          <w:tcPr>
            <w:tcW w:w="1338" w:type="dxa"/>
            <w:vAlign w:val="center"/>
          </w:tcPr>
          <w:p w14:paraId="7DCF5523"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92.1</w:t>
            </w:r>
          </w:p>
        </w:tc>
        <w:tc>
          <w:tcPr>
            <w:tcW w:w="1338" w:type="dxa"/>
            <w:vAlign w:val="center"/>
          </w:tcPr>
          <w:p w14:paraId="1602258A"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88.0</w:t>
            </w:r>
          </w:p>
        </w:tc>
        <w:tc>
          <w:tcPr>
            <w:tcW w:w="1338" w:type="dxa"/>
            <w:vAlign w:val="center"/>
          </w:tcPr>
          <w:p w14:paraId="6B66E27E"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+2.2</w:t>
            </w:r>
          </w:p>
        </w:tc>
      </w:tr>
      <w:tr w:rsidR="00000000" w:rsidRPr="005875F3" w14:paraId="3238797B" w14:textId="77777777">
        <w:tc>
          <w:tcPr>
            <w:tcW w:w="1535" w:type="dxa"/>
            <w:vAlign w:val="center"/>
          </w:tcPr>
          <w:p w14:paraId="13C0C655"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Decision Tree Classifier (DT)</w:t>
            </w:r>
          </w:p>
        </w:tc>
        <w:tc>
          <w:tcPr>
            <w:tcW w:w="1141" w:type="dxa"/>
            <w:vAlign w:val="center"/>
          </w:tcPr>
          <w:p w14:paraId="6585635F"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97.3</w:t>
            </w:r>
          </w:p>
        </w:tc>
        <w:tc>
          <w:tcPr>
            <w:tcW w:w="1338" w:type="dxa"/>
            <w:vAlign w:val="center"/>
          </w:tcPr>
          <w:p w14:paraId="49423211"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98.1</w:t>
            </w:r>
          </w:p>
        </w:tc>
        <w:tc>
          <w:tcPr>
            <w:tcW w:w="1338" w:type="dxa"/>
            <w:vAlign w:val="center"/>
          </w:tcPr>
          <w:p w14:paraId="0B878800"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96.8</w:t>
            </w:r>
          </w:p>
        </w:tc>
        <w:tc>
          <w:tcPr>
            <w:tcW w:w="1338" w:type="dxa"/>
            <w:vAlign w:val="center"/>
          </w:tcPr>
          <w:p w14:paraId="697928F6"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97.9</w:t>
            </w:r>
          </w:p>
        </w:tc>
        <w:tc>
          <w:tcPr>
            <w:tcW w:w="1338" w:type="dxa"/>
            <w:vAlign w:val="center"/>
          </w:tcPr>
          <w:p w14:paraId="682551B6"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97.3</w:t>
            </w:r>
          </w:p>
        </w:tc>
        <w:tc>
          <w:tcPr>
            <w:tcW w:w="1338" w:type="dxa"/>
            <w:vAlign w:val="center"/>
          </w:tcPr>
          <w:p w14:paraId="7ABCA5FB"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+0.8</w:t>
            </w:r>
          </w:p>
        </w:tc>
      </w:tr>
      <w:tr w:rsidR="00000000" w:rsidRPr="005875F3" w14:paraId="2488561E" w14:textId="77777777">
        <w:tc>
          <w:tcPr>
            <w:tcW w:w="1535" w:type="dxa"/>
            <w:vAlign w:val="center"/>
          </w:tcPr>
          <w:p w14:paraId="3B9941B8"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K-Nearest Neighbors (KNN)</w:t>
            </w:r>
          </w:p>
        </w:tc>
        <w:tc>
          <w:tcPr>
            <w:tcW w:w="1141" w:type="dxa"/>
            <w:vAlign w:val="center"/>
          </w:tcPr>
          <w:p w14:paraId="017B081D"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87.6</w:t>
            </w:r>
          </w:p>
        </w:tc>
        <w:tc>
          <w:tcPr>
            <w:tcW w:w="1338" w:type="dxa"/>
            <w:vAlign w:val="center"/>
          </w:tcPr>
          <w:p w14:paraId="67F2F2F6"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90.2</w:t>
            </w:r>
          </w:p>
        </w:tc>
        <w:tc>
          <w:tcPr>
            <w:tcW w:w="1338" w:type="dxa"/>
            <w:vAlign w:val="center"/>
          </w:tcPr>
          <w:p w14:paraId="6E5FAA92"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85.4</w:t>
            </w:r>
          </w:p>
        </w:tc>
        <w:tc>
          <w:tcPr>
            <w:tcW w:w="1338" w:type="dxa"/>
            <w:vAlign w:val="center"/>
          </w:tcPr>
          <w:p w14:paraId="671F9B39"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89.7</w:t>
            </w:r>
          </w:p>
        </w:tc>
        <w:tc>
          <w:tcPr>
            <w:tcW w:w="1338" w:type="dxa"/>
            <w:vAlign w:val="center"/>
          </w:tcPr>
          <w:p w14:paraId="4292C109"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87.5</w:t>
            </w:r>
          </w:p>
        </w:tc>
        <w:tc>
          <w:tcPr>
            <w:tcW w:w="1338" w:type="dxa"/>
            <w:vAlign w:val="center"/>
          </w:tcPr>
          <w:p w14:paraId="13043C41"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+2.6</w:t>
            </w:r>
          </w:p>
        </w:tc>
      </w:tr>
      <w:tr w:rsidR="00000000" w:rsidRPr="005875F3" w14:paraId="23135764" w14:textId="77777777">
        <w:tc>
          <w:tcPr>
            <w:tcW w:w="1535" w:type="dxa"/>
            <w:vAlign w:val="center"/>
          </w:tcPr>
          <w:p w14:paraId="1D5C81D6"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Logistic Regression (LR)</w:t>
            </w:r>
          </w:p>
        </w:tc>
        <w:tc>
          <w:tcPr>
            <w:tcW w:w="1141" w:type="dxa"/>
            <w:vAlign w:val="center"/>
          </w:tcPr>
          <w:p w14:paraId="00EDA66B"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89.3</w:t>
            </w:r>
          </w:p>
        </w:tc>
        <w:tc>
          <w:tcPr>
            <w:tcW w:w="1338" w:type="dxa"/>
            <w:vAlign w:val="center"/>
          </w:tcPr>
          <w:p w14:paraId="381608C6"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91.0</w:t>
            </w:r>
          </w:p>
        </w:tc>
        <w:tc>
          <w:tcPr>
            <w:tcW w:w="1338" w:type="dxa"/>
            <w:vAlign w:val="center"/>
          </w:tcPr>
          <w:p w14:paraId="405B6CB9"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90.1</w:t>
            </w:r>
          </w:p>
        </w:tc>
        <w:tc>
          <w:tcPr>
            <w:tcW w:w="1338" w:type="dxa"/>
            <w:vAlign w:val="center"/>
          </w:tcPr>
          <w:p w14:paraId="0E66BD84"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90.6</w:t>
            </w:r>
          </w:p>
        </w:tc>
        <w:tc>
          <w:tcPr>
            <w:tcW w:w="1338" w:type="dxa"/>
            <w:vAlign w:val="center"/>
          </w:tcPr>
          <w:p w14:paraId="16812F4C"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90.3</w:t>
            </w:r>
          </w:p>
        </w:tc>
        <w:tc>
          <w:tcPr>
            <w:tcW w:w="1338" w:type="dxa"/>
            <w:vAlign w:val="center"/>
          </w:tcPr>
          <w:p w14:paraId="75002EE1"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+1.7</w:t>
            </w:r>
          </w:p>
        </w:tc>
      </w:tr>
      <w:tr w:rsidR="00000000" w:rsidRPr="005875F3" w14:paraId="3ABA296F" w14:textId="77777777">
        <w:tc>
          <w:tcPr>
            <w:tcW w:w="1535" w:type="dxa"/>
            <w:vAlign w:val="center"/>
          </w:tcPr>
          <w:p w14:paraId="380C4F4D"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 xml:space="preserve">Random Forest </w:t>
            </w:r>
            <w:r w:rsidRPr="005875F3">
              <w:rPr>
                <w:rFonts w:ascii="Goudy Old Style" w:hAnsi="Goudy Old Style" w:cs="Times New Roman"/>
              </w:rPr>
              <w:lastRenderedPageBreak/>
              <w:t>Classifier (RF)</w:t>
            </w:r>
          </w:p>
        </w:tc>
        <w:tc>
          <w:tcPr>
            <w:tcW w:w="1141" w:type="dxa"/>
            <w:vAlign w:val="center"/>
          </w:tcPr>
          <w:p w14:paraId="4B4B0ABF"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lastRenderedPageBreak/>
              <w:t>97.3</w:t>
            </w:r>
          </w:p>
        </w:tc>
        <w:tc>
          <w:tcPr>
            <w:tcW w:w="1338" w:type="dxa"/>
            <w:vAlign w:val="center"/>
          </w:tcPr>
          <w:p w14:paraId="18E8300F"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98.4</w:t>
            </w:r>
          </w:p>
        </w:tc>
        <w:tc>
          <w:tcPr>
            <w:tcW w:w="1338" w:type="dxa"/>
            <w:vAlign w:val="center"/>
          </w:tcPr>
          <w:p w14:paraId="1E886DCB"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96.5</w:t>
            </w:r>
          </w:p>
        </w:tc>
        <w:tc>
          <w:tcPr>
            <w:tcW w:w="1338" w:type="dxa"/>
            <w:vAlign w:val="center"/>
          </w:tcPr>
          <w:p w14:paraId="72E8BD04"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98.3</w:t>
            </w:r>
          </w:p>
        </w:tc>
        <w:tc>
          <w:tcPr>
            <w:tcW w:w="1338" w:type="dxa"/>
            <w:vAlign w:val="center"/>
          </w:tcPr>
          <w:p w14:paraId="65A82C1A"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97.4</w:t>
            </w:r>
          </w:p>
        </w:tc>
        <w:tc>
          <w:tcPr>
            <w:tcW w:w="1338" w:type="dxa"/>
            <w:vAlign w:val="center"/>
          </w:tcPr>
          <w:p w14:paraId="7FB0BFC7"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+1.1</w:t>
            </w:r>
          </w:p>
        </w:tc>
      </w:tr>
      <w:tr w:rsidR="00000000" w:rsidRPr="005875F3" w14:paraId="3EC43D10" w14:textId="77777777">
        <w:tc>
          <w:tcPr>
            <w:tcW w:w="1535" w:type="dxa"/>
            <w:vAlign w:val="center"/>
          </w:tcPr>
          <w:p w14:paraId="12D44FC8"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AdaBoost Classifier</w:t>
            </w:r>
          </w:p>
        </w:tc>
        <w:tc>
          <w:tcPr>
            <w:tcW w:w="1141" w:type="dxa"/>
            <w:vAlign w:val="center"/>
          </w:tcPr>
          <w:p w14:paraId="760577EE"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95.0</w:t>
            </w:r>
          </w:p>
        </w:tc>
        <w:tc>
          <w:tcPr>
            <w:tcW w:w="1338" w:type="dxa"/>
            <w:vAlign w:val="center"/>
          </w:tcPr>
          <w:p w14:paraId="4AD6E237"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96.8</w:t>
            </w:r>
          </w:p>
        </w:tc>
        <w:tc>
          <w:tcPr>
            <w:tcW w:w="1338" w:type="dxa"/>
            <w:vAlign w:val="center"/>
          </w:tcPr>
          <w:p w14:paraId="30B14274"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94.1</w:t>
            </w:r>
          </w:p>
        </w:tc>
        <w:tc>
          <w:tcPr>
            <w:tcW w:w="1338" w:type="dxa"/>
            <w:vAlign w:val="center"/>
          </w:tcPr>
          <w:p w14:paraId="1B4F3A41"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96.5</w:t>
            </w:r>
          </w:p>
        </w:tc>
        <w:tc>
          <w:tcPr>
            <w:tcW w:w="1338" w:type="dxa"/>
            <w:vAlign w:val="center"/>
          </w:tcPr>
          <w:p w14:paraId="497A887C"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95.3</w:t>
            </w:r>
          </w:p>
        </w:tc>
        <w:tc>
          <w:tcPr>
            <w:tcW w:w="1338" w:type="dxa"/>
            <w:vAlign w:val="center"/>
          </w:tcPr>
          <w:p w14:paraId="7CD2D1B6"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+1.8</w:t>
            </w:r>
          </w:p>
        </w:tc>
      </w:tr>
      <w:tr w:rsidR="00000000" w:rsidRPr="005875F3" w14:paraId="50C10387" w14:textId="77777777">
        <w:tc>
          <w:tcPr>
            <w:tcW w:w="1535" w:type="dxa"/>
            <w:vAlign w:val="center"/>
          </w:tcPr>
          <w:p w14:paraId="096751BA"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Gradient Boosting (GB)</w:t>
            </w:r>
          </w:p>
        </w:tc>
        <w:tc>
          <w:tcPr>
            <w:tcW w:w="1141" w:type="dxa"/>
            <w:vAlign w:val="center"/>
          </w:tcPr>
          <w:p w14:paraId="5BB707EA"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97.6</w:t>
            </w:r>
          </w:p>
        </w:tc>
        <w:tc>
          <w:tcPr>
            <w:tcW w:w="1338" w:type="dxa"/>
            <w:vAlign w:val="center"/>
          </w:tcPr>
          <w:p w14:paraId="17B77074"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98.5</w:t>
            </w:r>
          </w:p>
        </w:tc>
        <w:tc>
          <w:tcPr>
            <w:tcW w:w="1338" w:type="dxa"/>
            <w:vAlign w:val="center"/>
          </w:tcPr>
          <w:p w14:paraId="7361E0D0"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97.1</w:t>
            </w:r>
          </w:p>
        </w:tc>
        <w:tc>
          <w:tcPr>
            <w:tcW w:w="1338" w:type="dxa"/>
            <w:vAlign w:val="center"/>
          </w:tcPr>
          <w:p w14:paraId="0CFA8121"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98.0</w:t>
            </w:r>
          </w:p>
        </w:tc>
        <w:tc>
          <w:tcPr>
            <w:tcW w:w="1338" w:type="dxa"/>
            <w:vAlign w:val="center"/>
          </w:tcPr>
          <w:p w14:paraId="01388251"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97.5</w:t>
            </w:r>
          </w:p>
        </w:tc>
        <w:tc>
          <w:tcPr>
            <w:tcW w:w="1338" w:type="dxa"/>
            <w:vAlign w:val="center"/>
          </w:tcPr>
          <w:p w14:paraId="6FEC2129"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+0.9</w:t>
            </w:r>
          </w:p>
        </w:tc>
      </w:tr>
      <w:tr w:rsidR="00000000" w:rsidRPr="005875F3" w14:paraId="20EAF1F7" w14:textId="77777777">
        <w:tc>
          <w:tcPr>
            <w:tcW w:w="1535" w:type="dxa"/>
            <w:vAlign w:val="center"/>
          </w:tcPr>
          <w:p w14:paraId="17B12B23" w14:textId="77777777" w:rsidR="00000000" w:rsidRPr="005875F3" w:rsidRDefault="00000000" w:rsidP="005875F3">
            <w:pPr>
              <w:spacing w:after="0" w:line="240" w:lineRule="auto"/>
              <w:ind w:leftChars="0" w:left="2" w:hanging="2"/>
              <w:jc w:val="both"/>
              <w:rPr>
                <w:rFonts w:ascii="Goudy Old Style" w:hAnsi="Goudy Old Style" w:cs="Times New Roman"/>
                <w:b/>
              </w:rPr>
            </w:pPr>
            <w:r w:rsidRPr="005875F3">
              <w:rPr>
                <w:rFonts w:ascii="Goudy Old Style" w:hAnsi="Goudy Old Style" w:cs="Times New Roman"/>
                <w:b/>
              </w:rPr>
              <w:t>Ensemble  Model (RF + SVM + XGBoost)</w:t>
            </w:r>
          </w:p>
        </w:tc>
        <w:tc>
          <w:tcPr>
            <w:tcW w:w="1141" w:type="dxa"/>
            <w:vAlign w:val="center"/>
          </w:tcPr>
          <w:p w14:paraId="02D09012"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98.6</w:t>
            </w:r>
          </w:p>
        </w:tc>
        <w:tc>
          <w:tcPr>
            <w:tcW w:w="1338" w:type="dxa"/>
            <w:vAlign w:val="center"/>
          </w:tcPr>
          <w:p w14:paraId="1633B86A"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99.2</w:t>
            </w:r>
          </w:p>
        </w:tc>
        <w:tc>
          <w:tcPr>
            <w:tcW w:w="1338" w:type="dxa"/>
            <w:vAlign w:val="center"/>
          </w:tcPr>
          <w:p w14:paraId="593684FD"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98.0</w:t>
            </w:r>
          </w:p>
        </w:tc>
        <w:tc>
          <w:tcPr>
            <w:tcW w:w="1338" w:type="dxa"/>
            <w:vAlign w:val="center"/>
          </w:tcPr>
          <w:p w14:paraId="1B98BD85"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99.0</w:t>
            </w:r>
          </w:p>
        </w:tc>
        <w:tc>
          <w:tcPr>
            <w:tcW w:w="1338" w:type="dxa"/>
            <w:vAlign w:val="center"/>
          </w:tcPr>
          <w:p w14:paraId="4DAB6877"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98.5</w:t>
            </w:r>
          </w:p>
        </w:tc>
        <w:tc>
          <w:tcPr>
            <w:tcW w:w="1338" w:type="dxa"/>
            <w:vAlign w:val="center"/>
          </w:tcPr>
          <w:p w14:paraId="43D36C34"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hAnsi="Goudy Old Style" w:cs="Times New Roman"/>
              </w:rPr>
              <w:t>+0.6</w:t>
            </w:r>
          </w:p>
        </w:tc>
      </w:tr>
    </w:tbl>
    <w:p w14:paraId="705159DC"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p>
    <w:p w14:paraId="7BF1318C"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b/>
        </w:rPr>
      </w:pPr>
      <w:r w:rsidRPr="005875F3">
        <w:rPr>
          <w:rFonts w:ascii="Goudy Old Style" w:eastAsia="Times New Roman" w:hAnsi="Goudy Old Style" w:cs="Times New Roman"/>
          <w:b/>
        </w:rPr>
        <w:t>4.2 Comparison with Traditional Classifiers</w:t>
      </w:r>
    </w:p>
    <w:p w14:paraId="6F06C5F6"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 xml:space="preserve">The GRA + GWO model demonstrates the best accuracy on all classifiers and significantly outperforms baseline models such as Decision Tree (DT) and Random Forest (RF). These results descend from the fact that GRA is used for feature selection and GWO for hyperparameters tuning. Especially in healthcare, where efficient resource allocation and strategic interventions are crucial, distinguishing between short-term and long-term readmissions poses a significant challenge; however, the integration of GRA with GWO yields unmatched accuracy for this critical task.  </w:t>
      </w:r>
    </w:p>
    <w:p w14:paraId="71E5632D" w14:textId="12DE6FAD" w:rsidR="00000000" w:rsidRPr="005875F3" w:rsidRDefault="00C8000D" w:rsidP="005875F3">
      <w:pPr>
        <w:spacing w:after="0" w:line="240" w:lineRule="auto"/>
        <w:ind w:leftChars="0" w:left="2" w:hanging="2"/>
        <w:jc w:val="both"/>
        <w:rPr>
          <w:rFonts w:ascii="Goudy Old Style" w:eastAsia="Times New Roman" w:hAnsi="Goudy Old Style"/>
          <w:lang w:val="en-IN" w:eastAsia="en-IN"/>
        </w:rPr>
      </w:pPr>
      <w:r w:rsidRPr="005875F3">
        <w:rPr>
          <w:rFonts w:ascii="Goudy Old Style" w:eastAsia="Times New Roman" w:hAnsi="Goudy Old Style"/>
          <w:noProof/>
          <w:lang w:val="en-IN" w:eastAsia="en-IN"/>
        </w:rPr>
        <w:drawing>
          <wp:inline distT="0" distB="0" distL="0" distR="0" wp14:anchorId="3F51281D" wp14:editId="549C7FC4">
            <wp:extent cx="5016500" cy="1961515"/>
            <wp:effectExtent l="0" t="0" r="0" b="0"/>
            <wp:docPr id="3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1ABC72" w14:textId="77777777" w:rsidR="00000000" w:rsidRPr="005875F3" w:rsidRDefault="00000000" w:rsidP="005875F3">
      <w:pPr>
        <w:spacing w:after="0" w:line="240" w:lineRule="auto"/>
        <w:ind w:leftChars="0" w:left="2" w:hanging="2"/>
        <w:jc w:val="both"/>
        <w:rPr>
          <w:rFonts w:ascii="Goudy Old Style" w:hAnsi="Goudy Old Style" w:cs="Times New Roman"/>
        </w:rPr>
      </w:pPr>
      <w:r w:rsidRPr="005875F3">
        <w:rPr>
          <w:rFonts w:ascii="Goudy Old Style" w:eastAsia="Times New Roman" w:hAnsi="Goudy Old Style" w:cs="Times New Roman"/>
          <w:b/>
          <w:lang w:val="en-IN" w:eastAsia="en-IN"/>
        </w:rPr>
        <w:t>Figure 3:</w:t>
      </w:r>
      <w:r w:rsidRPr="005875F3">
        <w:rPr>
          <w:rFonts w:ascii="Goudy Old Style" w:eastAsia="Times New Roman" w:hAnsi="Goudy Old Style" w:cs="Times New Roman"/>
          <w:bCs/>
        </w:rPr>
        <w:t xml:space="preserve"> </w:t>
      </w:r>
      <w:r w:rsidRPr="005875F3">
        <w:rPr>
          <w:rFonts w:ascii="Goudy Old Style" w:hAnsi="Goudy Old Style" w:cs="Times New Roman"/>
        </w:rPr>
        <w:t>Accuracy Comparison between GRA and Traditional Classifiers</w:t>
      </w:r>
    </w:p>
    <w:p w14:paraId="04BC2813"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b/>
        </w:rPr>
      </w:pPr>
      <w:r w:rsidRPr="005875F3">
        <w:rPr>
          <w:rFonts w:ascii="Goudy Old Style" w:eastAsia="Times New Roman" w:hAnsi="Goudy Old Style" w:cs="Times New Roman"/>
          <w:b/>
        </w:rPr>
        <w:t xml:space="preserve">4.3 Model Performance: Short-Term vs Long-Term Readmissions </w:t>
      </w:r>
    </w:p>
    <w:p w14:paraId="415A1F65" w14:textId="41260FB7" w:rsidR="00000000" w:rsidRPr="005875F3" w:rsidRDefault="00C8000D" w:rsidP="005875F3">
      <w:pPr>
        <w:spacing w:after="0" w:line="240" w:lineRule="auto"/>
        <w:ind w:leftChars="0" w:left="2" w:hanging="2"/>
        <w:jc w:val="both"/>
        <w:rPr>
          <w:rFonts w:ascii="Goudy Old Style" w:eastAsia="Times New Roman" w:hAnsi="Goudy Old Style"/>
        </w:rPr>
      </w:pPr>
      <w:r w:rsidRPr="005875F3">
        <w:rPr>
          <w:rFonts w:ascii="Goudy Old Style" w:eastAsia="Times New Roman" w:hAnsi="Goudy Old Style"/>
          <w:noProof/>
          <w:lang w:val="en-IN" w:eastAsia="en-IN"/>
        </w:rPr>
        <w:drawing>
          <wp:inline distT="0" distB="0" distL="0" distR="0" wp14:anchorId="277CC47E" wp14:editId="1A4AC2F6">
            <wp:extent cx="3908425" cy="1938655"/>
            <wp:effectExtent l="0" t="0" r="0" b="0"/>
            <wp:docPr id="4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732BE6" w14:textId="77777777" w:rsidR="00000000" w:rsidRPr="005875F3" w:rsidRDefault="00000000" w:rsidP="005875F3">
      <w:pPr>
        <w:spacing w:after="0" w:line="240" w:lineRule="auto"/>
        <w:ind w:leftChars="0" w:left="2" w:hanging="2"/>
        <w:jc w:val="both"/>
        <w:rPr>
          <w:rFonts w:ascii="Goudy Old Style" w:hAnsi="Goudy Old Style" w:cs="Times New Roman"/>
          <w:bCs/>
        </w:rPr>
      </w:pPr>
      <w:r w:rsidRPr="005875F3">
        <w:rPr>
          <w:rFonts w:ascii="Goudy Old Style" w:hAnsi="Goudy Old Style" w:cs="Times New Roman"/>
          <w:b/>
          <w:bCs/>
        </w:rPr>
        <w:t>Figure 4</w:t>
      </w:r>
      <w:r w:rsidRPr="005875F3">
        <w:rPr>
          <w:rFonts w:ascii="Goudy Old Style" w:hAnsi="Goudy Old Style" w:cs="Times New Roman"/>
          <w:b/>
        </w:rPr>
        <w:t>:</w:t>
      </w:r>
      <w:r w:rsidRPr="005875F3">
        <w:rPr>
          <w:rFonts w:ascii="Goudy Old Style" w:hAnsi="Goudy Old Style" w:cs="Times New Roman"/>
        </w:rPr>
        <w:t xml:space="preserve"> </w:t>
      </w:r>
      <w:r w:rsidRPr="005875F3">
        <w:rPr>
          <w:rFonts w:ascii="Goudy Old Style" w:hAnsi="Goudy Old Style" w:cs="Times New Roman"/>
          <w:bCs/>
        </w:rPr>
        <w:t>Precision, Recall, and F1-Score Comparison between GRA and Traditional Classifiers</w:t>
      </w:r>
    </w:p>
    <w:p w14:paraId="1267F7F7"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 xml:space="preserve">The precision, recall, and F1-score metrics indicate that the GRA + GWO model outstrips other models. The most pronounced change, however, is seen with classifiers such as SVC and KNN, which increased with GRA + GWO by 2.2% and 2.6%, respectively. Even with Decision Tree (+0.8%), Random Forest (+1.1%), and Gradient Boosting (+0.9%), the model still showed appreciable gains. These results underline </w:t>
      </w:r>
      <w:r w:rsidRPr="005875F3">
        <w:rPr>
          <w:rFonts w:ascii="Goudy Old Style" w:eastAsia="Times New Roman" w:hAnsi="Goudy Old Style" w:cs="Times New Roman"/>
        </w:rPr>
        <w:lastRenderedPageBreak/>
        <w:t>the importance of feature selection through GRA and model optimization via GWO in improving predictive performance—especially for complex healthcare datasets with many features.</w:t>
      </w:r>
    </w:p>
    <w:p w14:paraId="39A0774D" w14:textId="77777777"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 xml:space="preserve">It is particularly critical to assess how well the classification model differentiates between short-term and long-term readmissions. The application of GRA in feature selection ensures that only the most meaningful variables—those that significantly impact the prediction of readmissions—are kept, which has significance in the management of chronic diseases as patient outcomes can change significantly with time. </w:t>
      </w:r>
    </w:p>
    <w:p w14:paraId="5C0DA421" w14:textId="77777777" w:rsidR="00000000"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In addition, using GWO optimization means that the parameters of the model are continuously updated to get a better fit to the data, thereby curbing overfitting and increasing resistance towards irrelevant information. This enables the model to maintain significant recall and precision of short- and long-term predictions thus giving the healthcare professionals insights that will physically make difference in patient care and treatment scheme.</w:t>
      </w:r>
    </w:p>
    <w:p w14:paraId="5C6210E9" w14:textId="77777777" w:rsidR="005875F3" w:rsidRPr="005875F3" w:rsidRDefault="005875F3" w:rsidP="005875F3">
      <w:pPr>
        <w:spacing w:after="0" w:line="240" w:lineRule="auto"/>
        <w:ind w:leftChars="0" w:left="2" w:hanging="2"/>
        <w:jc w:val="both"/>
        <w:rPr>
          <w:rFonts w:ascii="Goudy Old Style" w:eastAsia="Times New Roman" w:hAnsi="Goudy Old Style" w:cs="Times New Roman"/>
        </w:rPr>
      </w:pPr>
    </w:p>
    <w:p w14:paraId="125E7A0E" w14:textId="75AA3950" w:rsidR="00000000" w:rsidRPr="005875F3"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b/>
        </w:rPr>
        <w:t xml:space="preserve">5. </w:t>
      </w:r>
      <w:r w:rsidR="005875F3" w:rsidRPr="005875F3">
        <w:rPr>
          <w:rFonts w:ascii="Goudy Old Style" w:eastAsia="Times New Roman" w:hAnsi="Goudy Old Style" w:cs="Times New Roman"/>
          <w:b/>
        </w:rPr>
        <w:t>CONCLUSION AND FUTURE SCOPE</w:t>
      </w:r>
    </w:p>
    <w:p w14:paraId="4D7D2C6C" w14:textId="77777777" w:rsidR="00000000" w:rsidRDefault="00000000" w:rsidP="005875F3">
      <w:pPr>
        <w:spacing w:after="0" w:line="240" w:lineRule="auto"/>
        <w:ind w:leftChars="0" w:left="2" w:hanging="2"/>
        <w:jc w:val="both"/>
        <w:rPr>
          <w:rFonts w:ascii="Goudy Old Style" w:eastAsia="Times New Roman" w:hAnsi="Goudy Old Style" w:cs="Times New Roman"/>
        </w:rPr>
      </w:pPr>
      <w:r w:rsidRPr="005875F3">
        <w:rPr>
          <w:rFonts w:ascii="Goudy Old Style" w:eastAsia="Times New Roman" w:hAnsi="Goudy Old Style" w:cs="Times New Roman"/>
        </w:rPr>
        <w:t>The current study is dedicated to the usage of machine learning algorithms in terms of predicting the outcome of re-admission into a hospital in the case of patients having Type 2 Diabetes Mellitus (T2DM) based on related health parameters, including Body Mass Index (BMI), blood glucose, cholesterol, and re-admission. Several classification algorithms were used after preprocessing, feature engineering, and model building when systematic preprocessing of data were done. The highest total accuracy of 98.6% was recorded in the ensemble model consisting of Support Vector Machine, Random Forest, and XGBoost, and this shows the effectiveness of ensemble methods. Even the applied feature selection and re-admission metric calculations were successful in the Gradient Boosting Classifier and the Decision Tree Classifier with 97.6 percent and 97.3 percent accuracy, respectively. An improvement in Relational Analysis (GRA) adopted in feature selection with health indicators being model-specific did make the readmission very accurate which played a very important role in improving the efficiency of the model. Increasing the accuracy of the model through ensemble techniques was done by clearly defining the best feature selection of the most crucial parameters predictive of health. As real-time gathering systems are added into the mix, the dataset may incorporate some lifestyle, genetic, and socio-economic information and thus enhance generalizability of the model.</w:t>
      </w:r>
    </w:p>
    <w:p w14:paraId="3E2FAF8E" w14:textId="77777777" w:rsidR="005875F3" w:rsidRPr="005875F3" w:rsidRDefault="005875F3" w:rsidP="005875F3">
      <w:pPr>
        <w:spacing w:after="0" w:line="240" w:lineRule="auto"/>
        <w:ind w:leftChars="0" w:left="2" w:hanging="2"/>
        <w:jc w:val="both"/>
        <w:rPr>
          <w:rFonts w:ascii="Goudy Old Style" w:eastAsia="Times New Roman" w:hAnsi="Goudy Old Style" w:cs="Times New Roman"/>
        </w:rPr>
      </w:pPr>
    </w:p>
    <w:p w14:paraId="561E140F" w14:textId="1E99BBF4" w:rsidR="00000000" w:rsidRPr="005875F3" w:rsidRDefault="00000000" w:rsidP="005875F3">
      <w:pPr>
        <w:spacing w:after="0" w:line="240" w:lineRule="auto"/>
        <w:ind w:leftChars="0" w:left="2" w:hanging="2"/>
        <w:jc w:val="both"/>
        <w:rPr>
          <w:rFonts w:ascii="Goudy Old Style" w:eastAsia="Times New Roman" w:hAnsi="Goudy Old Style" w:cs="Times New Roman"/>
          <w:sz w:val="18"/>
          <w:szCs w:val="18"/>
        </w:rPr>
      </w:pPr>
      <w:r w:rsidRPr="005875F3">
        <w:rPr>
          <w:rFonts w:ascii="Goudy Old Style" w:eastAsia="Times New Roman" w:hAnsi="Goudy Old Style" w:cs="Times New Roman"/>
          <w:b/>
          <w:sz w:val="18"/>
          <w:szCs w:val="18"/>
        </w:rPr>
        <w:t xml:space="preserve">6. </w:t>
      </w:r>
      <w:r w:rsidR="005875F3" w:rsidRPr="005875F3">
        <w:rPr>
          <w:rFonts w:ascii="Goudy Old Style" w:eastAsia="Times New Roman" w:hAnsi="Goudy Old Style" w:cs="Times New Roman"/>
          <w:b/>
          <w:sz w:val="18"/>
          <w:szCs w:val="18"/>
        </w:rPr>
        <w:t xml:space="preserve">REFERENCES </w:t>
      </w:r>
    </w:p>
    <w:p w14:paraId="5AF461B5"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A. Alam, T. A. Haider, M. R. S. Vahdati, and M. H. Mollah, "Understanding the causes of Type 2 Diabetes and its association with obesity," Diabetes Research Journal, vol. 32, no. 2, pp. 195-202, 2014.</w:t>
      </w:r>
    </w:p>
    <w:p w14:paraId="6C5549EC"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A. Deshmukh, R. Shukla, A. K. Jain, and M. Singh, "Diagnostic features of diabetes mellitus: Plasma glucose concentration and clinical symptoms," Journal of Clinical Endocrinology, vol. 29, no. 3, pp. 112-118, 2015.</w:t>
      </w:r>
    </w:p>
    <w:p w14:paraId="1F01D587"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D. W. Nathan, "Long-term complications of diabetes mellitus," New England Journal of Medicine, vol. 328, no. 23, pp. 1676-1683, 1993.</w:t>
      </w:r>
    </w:p>
    <w:p w14:paraId="24695A03"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I. Krasteva, G. K. Westberg, and M. M. Quinn, "Diabetic complications: The cardiovascular risk," Diabetes Care, vol. 37, pp. 1625-1633, 2014.</w:t>
      </w:r>
    </w:p>
    <w:p w14:paraId="78AEE0E1"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F. Setacci, A. Setacci, and M. A. Cavallari, "Obesity and diabetes: The role of lifestyle changes," Obesity and Metabolism, vol. 21, no. 4, pp. 430-440, 2009.</w:t>
      </w:r>
    </w:p>
    <w:p w14:paraId="67F615FE"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S. Suryasa, A. Gupta, and P. Kumar, "Preventative measures for diabetes: Physical activity and balanced diet," Journal of Preventive Medicine, vol. 41, no. 5, pp. 519-525, 2021.</w:t>
      </w:r>
    </w:p>
    <w:p w14:paraId="66B68DA8"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R. S. Raghavendra and S. K. J., "Performance evaluation of random forest with feature selection methods in prediction of diabetes," International Journal of Electrical and Computer Engineering (IJECE), vol. 10, no. 1, pp. 353-359, Feb. 2020, doi: 10.11591/ijece.v10i1.pp353-359</w:t>
      </w:r>
    </w:p>
    <w:p w14:paraId="046564D0"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M. Ambady and P. Chamukuttan, "Management of diabetes and prevention of vascular complications," Indian Journal of Diabetology, vol. 4, no. 2, pp. 231-239, 2008.</w:t>
      </w:r>
    </w:p>
    <w:p w14:paraId="40D93FED"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M. Habchi, P. A. Rauf, and M. H. Ahmed, "Big data in healthcare: Challenges and opportunities," Healthcare Analytics Journal, vol. 12, no. 3, pp. 167-179, 2023.</w:t>
      </w:r>
    </w:p>
    <w:p w14:paraId="6976420F"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N. A. Yatoo, I. S. Ali, and I. Mirza, "Comparing hyperparameter optimized support vector machine, multi-layer perceptron and bagging classifiers for diabetes mellitus prediction," Int. J. Electr. Comput. Eng., vol. 14, no. 5, pp. 5834-5847, Oct. 2024, doi: 10.11591/ijece.v14i5.pp5834-5847.</w:t>
      </w:r>
    </w:p>
    <w:p w14:paraId="78D126EB"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lastRenderedPageBreak/>
        <w:t>R. Dash, S. Kumar, and P. Singhal, "Utilization of big data in healthcare: Benefits and challenges," Health Management Review, vol. 30, no. 5, pp. 225-232, 2019.</w:t>
      </w:r>
    </w:p>
    <w:p w14:paraId="0ACEEDAD"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N. Patel, S. R. Khetani, and V. Malhotra, "Machine learning in healthcare: Current trends and future directions," Healthcare Technology Journal, vol. 25, pp. 100-110, 2023.</w:t>
      </w:r>
    </w:p>
    <w:p w14:paraId="3F80B354"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S. Farrelly, M. W. P. Singh, and L. R. Jones, "Early disease identification using machine learning: The role of healthcare professionals," Healthcare AI Journal, vol. 18, no. 7, pp. 142-149, 2023.</w:t>
      </w:r>
    </w:p>
    <w:p w14:paraId="476C812C"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F. Javaid, M. K. Patel, and D. M. Saxena, "AI-driven healthcare models: Enhancing medical services," Journal of AI in Healthcare, vol. 7, no. 4, pp. 325-332, 2022.</w:t>
      </w:r>
    </w:p>
    <w:p w14:paraId="28A43ECA"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P. Dixit, A. R. Gupta, and R. Singh, "Machine learning models for disease prediction in healthcare," Healthcare Artificial Intelligence, vol. 11, no. 2, pp. 90-95, 2023.</w:t>
      </w:r>
    </w:p>
    <w:p w14:paraId="4009A200"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Antoniadi, A., Du, Y., Guendouz, Y., Wei, L., Mazo, C., Becker, B., &amp; Mooney, C. (2021). Current challenges and future opportunities for XAI in machine learning-based clinical decision support systems: A systematic review. </w:t>
      </w:r>
      <w:r w:rsidRPr="005875F3">
        <w:rPr>
          <w:rFonts w:ascii="Goudy Old Style" w:eastAsia="Times New Roman" w:hAnsi="Goudy Old Style" w:cs="Times New Roman"/>
          <w:i/>
          <w:color w:val="000000"/>
          <w:sz w:val="18"/>
          <w:szCs w:val="18"/>
        </w:rPr>
        <w:t>Applied Sciences, 11</w:t>
      </w:r>
      <w:r w:rsidRPr="005875F3">
        <w:rPr>
          <w:rFonts w:ascii="Goudy Old Style" w:eastAsia="Times New Roman" w:hAnsi="Goudy Old Style" w:cs="Times New Roman"/>
          <w:color w:val="000000"/>
          <w:sz w:val="18"/>
          <w:szCs w:val="18"/>
        </w:rPr>
        <w:t>(5088).</w:t>
      </w:r>
    </w:p>
    <w:p w14:paraId="4C98B2F0"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Nusinovici, S., Tham, Y. C., Yan, M. Y. C., Ting, D. S. W., Li, J., Sabanayagam, C., Wong, T. Y., &amp; Cheng, C.-Y. (2020). Logistic regression was as good as machine learning for predicting major chronic diseases. </w:t>
      </w:r>
      <w:r w:rsidRPr="005875F3">
        <w:rPr>
          <w:rFonts w:ascii="Goudy Old Style" w:eastAsia="Times New Roman" w:hAnsi="Goudy Old Style" w:cs="Times New Roman"/>
          <w:i/>
          <w:color w:val="000000"/>
          <w:sz w:val="18"/>
          <w:szCs w:val="18"/>
        </w:rPr>
        <w:t>Journal of Clinical Epidemiology, 122</w:t>
      </w:r>
      <w:r w:rsidRPr="005875F3">
        <w:rPr>
          <w:rFonts w:ascii="Goudy Old Style" w:eastAsia="Times New Roman" w:hAnsi="Goudy Old Style" w:cs="Times New Roman"/>
          <w:color w:val="000000"/>
          <w:sz w:val="18"/>
          <w:szCs w:val="18"/>
        </w:rPr>
        <w:t>, 56–69.</w:t>
      </w:r>
    </w:p>
    <w:p w14:paraId="19159255"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Khan, A., Uddin, S., &amp; Srinivasan, U. (2019). Chronic disease prediction using administrative data and graph theory: The case of type 2 diabetes. </w:t>
      </w:r>
      <w:r w:rsidRPr="005875F3">
        <w:rPr>
          <w:rFonts w:ascii="Goudy Old Style" w:eastAsia="Times New Roman" w:hAnsi="Goudy Old Style" w:cs="Times New Roman"/>
          <w:i/>
          <w:color w:val="000000"/>
          <w:sz w:val="18"/>
          <w:szCs w:val="18"/>
        </w:rPr>
        <w:t>Expert Systems with Applications, 136</w:t>
      </w:r>
      <w:r w:rsidRPr="005875F3">
        <w:rPr>
          <w:rFonts w:ascii="Goudy Old Style" w:eastAsia="Times New Roman" w:hAnsi="Goudy Old Style" w:cs="Times New Roman"/>
          <w:color w:val="000000"/>
          <w:sz w:val="18"/>
          <w:szCs w:val="18"/>
        </w:rPr>
        <w:t>, 230–241.</w:t>
      </w:r>
    </w:p>
    <w:p w14:paraId="6B9B84FE"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Hossain, E., Uddin, S., &amp; Khan, A. (2020). Network analytics and machine learning for predictive risk modeling of cardiovascular disease in patients with type 2 diabetes. </w:t>
      </w:r>
      <w:r w:rsidRPr="005875F3">
        <w:rPr>
          <w:rFonts w:ascii="Goudy Old Style" w:eastAsia="Times New Roman" w:hAnsi="Goudy Old Style" w:cs="Times New Roman"/>
          <w:i/>
          <w:color w:val="000000"/>
          <w:sz w:val="18"/>
          <w:szCs w:val="18"/>
        </w:rPr>
        <w:t>Expert Systems with Applications, 164</w:t>
      </w:r>
      <w:r w:rsidRPr="005875F3">
        <w:rPr>
          <w:rFonts w:ascii="Goudy Old Style" w:eastAsia="Times New Roman" w:hAnsi="Goudy Old Style" w:cs="Times New Roman"/>
          <w:color w:val="000000"/>
          <w:sz w:val="18"/>
          <w:szCs w:val="18"/>
        </w:rPr>
        <w:t>, 113918.</w:t>
      </w:r>
    </w:p>
    <w:p w14:paraId="4849F45E"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Ramírez, J. C., &amp; Herrera, D. (2019). Prediction of diabetic patient readmission using machine learning. In </w:t>
      </w:r>
      <w:r w:rsidRPr="005875F3">
        <w:rPr>
          <w:rFonts w:ascii="Goudy Old Style" w:eastAsia="Times New Roman" w:hAnsi="Goudy Old Style" w:cs="Times New Roman"/>
          <w:i/>
          <w:color w:val="000000"/>
          <w:sz w:val="18"/>
          <w:szCs w:val="18"/>
        </w:rPr>
        <w:t>Proceedings of the IEEE Colombian Conference on Applications in Computational Intelligence</w:t>
      </w:r>
      <w:r w:rsidRPr="005875F3">
        <w:rPr>
          <w:rFonts w:ascii="Goudy Old Style" w:eastAsia="Times New Roman" w:hAnsi="Goudy Old Style" w:cs="Times New Roman"/>
          <w:color w:val="000000"/>
          <w:sz w:val="18"/>
          <w:szCs w:val="18"/>
        </w:rPr>
        <w:t>, Barranquilla, Colombia, 5–7 June 2019. Springer: Berlin/Heidelberg, Germany.</w:t>
      </w:r>
    </w:p>
    <w:p w14:paraId="583089CC"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Hasan, M. K., Alam, M. A., Das, D., Hossain, E., &amp; Hasan, M. (2020). Diabetes prediction using ensembling of different machine learning classifiers. </w:t>
      </w:r>
      <w:r w:rsidRPr="005875F3">
        <w:rPr>
          <w:rFonts w:ascii="Goudy Old Style" w:eastAsia="Times New Roman" w:hAnsi="Goudy Old Style" w:cs="Times New Roman"/>
          <w:i/>
          <w:color w:val="000000"/>
          <w:sz w:val="18"/>
          <w:szCs w:val="18"/>
        </w:rPr>
        <w:t>IEEE Access</w:t>
      </w:r>
      <w:r w:rsidRPr="005875F3">
        <w:rPr>
          <w:rFonts w:ascii="Goudy Old Style" w:eastAsia="Times New Roman" w:hAnsi="Goudy Old Style" w:cs="Times New Roman"/>
          <w:color w:val="000000"/>
          <w:sz w:val="18"/>
          <w:szCs w:val="18"/>
        </w:rPr>
        <w:t xml:space="preserve">, 8, 76516–76531. </w:t>
      </w:r>
      <w:hyperlink r:id="rId20">
        <w:r w:rsidRPr="005875F3">
          <w:rPr>
            <w:rFonts w:ascii="Goudy Old Style" w:eastAsia="Times New Roman" w:hAnsi="Goudy Old Style" w:cs="Times New Roman"/>
            <w:color w:val="000000"/>
            <w:sz w:val="18"/>
            <w:szCs w:val="18"/>
          </w:rPr>
          <w:t>https://doi.org/10.1109/ACCESS.2020.2989857</w:t>
        </w:r>
      </w:hyperlink>
      <w:r w:rsidRPr="005875F3">
        <w:rPr>
          <w:rFonts w:ascii="Goudy Old Style" w:eastAsia="Times New Roman" w:hAnsi="Goudy Old Style" w:cs="Times New Roman"/>
          <w:color w:val="000000"/>
          <w:sz w:val="18"/>
          <w:szCs w:val="18"/>
        </w:rPr>
        <w:t>.</w:t>
      </w:r>
    </w:p>
    <w:p w14:paraId="5923342B"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Ganie, S. M., &amp; Malik, M. B. (2022a). Comparative analysis of various supervised machine learning algorithms for the early prediction of type-II diabetes mellitus. </w:t>
      </w:r>
      <w:r w:rsidRPr="005875F3">
        <w:rPr>
          <w:rFonts w:ascii="Goudy Old Style" w:eastAsia="Times New Roman" w:hAnsi="Goudy Old Style" w:cs="Times New Roman"/>
          <w:i/>
          <w:color w:val="000000"/>
          <w:sz w:val="18"/>
          <w:szCs w:val="18"/>
        </w:rPr>
        <w:t>International Journal of Medical Engineering and Informatics, 14</w:t>
      </w:r>
      <w:r w:rsidRPr="005875F3">
        <w:rPr>
          <w:rFonts w:ascii="Goudy Old Style" w:eastAsia="Times New Roman" w:hAnsi="Goudy Old Style" w:cs="Times New Roman"/>
          <w:color w:val="000000"/>
          <w:sz w:val="18"/>
          <w:szCs w:val="18"/>
        </w:rPr>
        <w:t xml:space="preserve">(6), 473–483. </w:t>
      </w:r>
    </w:p>
    <w:p w14:paraId="36954664"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Ganie, S. M., &amp; Malik, M. B. (2022b). An ensemble machine learning approach for predicting type-II diabetes mellitus based on lifestyle indicators. </w:t>
      </w:r>
      <w:r w:rsidRPr="005875F3">
        <w:rPr>
          <w:rFonts w:ascii="Goudy Old Style" w:eastAsia="Times New Roman" w:hAnsi="Goudy Old Style" w:cs="Times New Roman"/>
          <w:i/>
          <w:color w:val="000000"/>
          <w:sz w:val="18"/>
          <w:szCs w:val="18"/>
        </w:rPr>
        <w:t>Healthcare Analytics, 2</w:t>
      </w:r>
      <w:r w:rsidRPr="005875F3">
        <w:rPr>
          <w:rFonts w:ascii="Goudy Old Style" w:eastAsia="Times New Roman" w:hAnsi="Goudy Old Style" w:cs="Times New Roman"/>
          <w:color w:val="000000"/>
          <w:sz w:val="18"/>
          <w:szCs w:val="18"/>
        </w:rPr>
        <w:t>, 100092. https://doi.org/10.1016/j.health.2022.100092</w:t>
      </w:r>
    </w:p>
    <w:p w14:paraId="17BA2BF8"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Ganie, S. M., Malik, M. B., &amp; Arif, T. (2022a). Performance analysis and prediction of type 2 diabetes mellitus based on lifestyle data using machine learning approaches. </w:t>
      </w:r>
      <w:r w:rsidRPr="005875F3">
        <w:rPr>
          <w:rFonts w:ascii="Goudy Old Style" w:eastAsia="Times New Roman" w:hAnsi="Goudy Old Style" w:cs="Times New Roman"/>
          <w:i/>
          <w:color w:val="000000"/>
          <w:sz w:val="18"/>
          <w:szCs w:val="18"/>
        </w:rPr>
        <w:t>Journal of Diabetes &amp; Metabolic Disorders, 21</w:t>
      </w:r>
      <w:r w:rsidRPr="005875F3">
        <w:rPr>
          <w:rFonts w:ascii="Goudy Old Style" w:eastAsia="Times New Roman" w:hAnsi="Goudy Old Style" w:cs="Times New Roman"/>
          <w:color w:val="000000"/>
          <w:sz w:val="18"/>
          <w:szCs w:val="18"/>
        </w:rPr>
        <w:t>, 339–352. https://doi.org/10.1007/s40200-022-00981-w</w:t>
      </w:r>
    </w:p>
    <w:p w14:paraId="5C358110" w14:textId="77777777" w:rsidR="00000000"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Ganie, S. M., Malik, M. B., &amp; Arif, T. (2022b). Machine learning techniques for diagnosis of type 2 diabetes using lifestyle data. In </w:t>
      </w:r>
      <w:r w:rsidRPr="005875F3">
        <w:rPr>
          <w:rFonts w:ascii="Goudy Old Style" w:eastAsia="Times New Roman" w:hAnsi="Goudy Old Style" w:cs="Times New Roman"/>
          <w:i/>
          <w:color w:val="000000"/>
          <w:sz w:val="18"/>
          <w:szCs w:val="18"/>
        </w:rPr>
        <w:t>Proceedings of the International Conference on Innovative Computing and Communications</w:t>
      </w:r>
      <w:r w:rsidRPr="005875F3">
        <w:rPr>
          <w:rFonts w:ascii="Goudy Old Style" w:eastAsia="Times New Roman" w:hAnsi="Goudy Old Style" w:cs="Times New Roman"/>
          <w:color w:val="000000"/>
          <w:sz w:val="18"/>
          <w:szCs w:val="18"/>
        </w:rPr>
        <w:t xml:space="preserve"> (pp. 487–497). Springer.</w:t>
      </w:r>
    </w:p>
    <w:p w14:paraId="0BA536F4" w14:textId="77777777" w:rsidR="008C4C24" w:rsidRPr="005875F3" w:rsidRDefault="00000000" w:rsidP="005875F3">
      <w:pPr>
        <w:pStyle w:val="ListParagraph"/>
        <w:numPr>
          <w:ilvl w:val="0"/>
          <w:numId w:val="5"/>
        </w:numPr>
        <w:spacing w:after="0" w:line="240" w:lineRule="auto"/>
        <w:ind w:leftChars="0" w:left="2" w:hanging="2"/>
        <w:jc w:val="both"/>
        <w:rPr>
          <w:rFonts w:ascii="Goudy Old Style" w:eastAsia="Times New Roman" w:hAnsi="Goudy Old Style" w:cs="Times New Roman"/>
          <w:color w:val="000000"/>
          <w:sz w:val="18"/>
          <w:szCs w:val="18"/>
        </w:rPr>
      </w:pPr>
      <w:r w:rsidRPr="005875F3">
        <w:rPr>
          <w:rFonts w:ascii="Goudy Old Style" w:eastAsia="Times New Roman" w:hAnsi="Goudy Old Style" w:cs="Times New Roman"/>
          <w:color w:val="000000"/>
          <w:sz w:val="18"/>
          <w:szCs w:val="18"/>
        </w:rPr>
        <w:t xml:space="preserve">Ganie, S. M., Pramanik, P. K. D., Malik, M. B., Nayyar, A., &amp; Kwak, K. S. (2023). An improved ensemble learning approach for heart disease prediction using boosting algorithms. </w:t>
      </w:r>
      <w:r w:rsidRPr="005875F3">
        <w:rPr>
          <w:rFonts w:ascii="Goudy Old Style" w:eastAsia="Times New Roman" w:hAnsi="Goudy Old Style" w:cs="Times New Roman"/>
          <w:i/>
          <w:color w:val="000000"/>
          <w:sz w:val="18"/>
          <w:szCs w:val="18"/>
        </w:rPr>
        <w:t>Computational Systems Science &amp; Engineering, 46</w:t>
      </w:r>
      <w:r w:rsidRPr="005875F3">
        <w:rPr>
          <w:rFonts w:ascii="Goudy Old Style" w:eastAsia="Times New Roman" w:hAnsi="Goudy Old Style" w:cs="Times New Roman"/>
          <w:color w:val="000000"/>
          <w:sz w:val="18"/>
          <w:szCs w:val="18"/>
        </w:rPr>
        <w:t xml:space="preserve">(3), 3993–4006. </w:t>
      </w:r>
    </w:p>
    <w:sectPr w:rsidR="008C4C24" w:rsidRPr="005875F3" w:rsidSect="005875F3">
      <w:type w:val="continuous"/>
      <w:pgSz w:w="12240" w:h="15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8BF0E" w14:textId="77777777" w:rsidR="008C4C24" w:rsidRDefault="008C4C24" w:rsidP="005875F3">
      <w:pPr>
        <w:spacing w:after="0" w:line="240" w:lineRule="auto"/>
        <w:ind w:left="0" w:hanging="2"/>
      </w:pPr>
      <w:r>
        <w:separator/>
      </w:r>
    </w:p>
  </w:endnote>
  <w:endnote w:type="continuationSeparator" w:id="0">
    <w:p w14:paraId="0270A5A5" w14:textId="77777777" w:rsidR="008C4C24" w:rsidRDefault="008C4C24" w:rsidP="005875F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6DE0" w14:textId="77777777" w:rsidR="005875F3" w:rsidRDefault="005875F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AD9E" w14:textId="77777777" w:rsidR="005875F3" w:rsidRDefault="005875F3">
    <w:pPr>
      <w:pStyle w:val="Footer"/>
      <w:ind w:left="0" w:hanging="2"/>
      <w:jc w:val="center"/>
    </w:pPr>
    <w:r>
      <w:fldChar w:fldCharType="begin"/>
    </w:r>
    <w:r>
      <w:instrText xml:space="preserve"> PAGE   \* MERGEFORMAT </w:instrText>
    </w:r>
    <w:r>
      <w:fldChar w:fldCharType="separate"/>
    </w:r>
    <w:r>
      <w:rPr>
        <w:noProof/>
      </w:rPr>
      <w:t>2</w:t>
    </w:r>
    <w:r>
      <w:rPr>
        <w:noProof/>
      </w:rPr>
      <w:fldChar w:fldCharType="end"/>
    </w:r>
  </w:p>
  <w:p w14:paraId="2D75DF2F" w14:textId="77777777" w:rsidR="005875F3" w:rsidRDefault="005875F3">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08A5" w14:textId="77777777" w:rsidR="005875F3" w:rsidRDefault="005875F3">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AC085" w14:textId="77777777" w:rsidR="008C4C24" w:rsidRDefault="008C4C24" w:rsidP="005875F3">
      <w:pPr>
        <w:spacing w:after="0" w:line="240" w:lineRule="auto"/>
        <w:ind w:left="0" w:hanging="2"/>
      </w:pPr>
      <w:r>
        <w:separator/>
      </w:r>
    </w:p>
  </w:footnote>
  <w:footnote w:type="continuationSeparator" w:id="0">
    <w:p w14:paraId="49783A37" w14:textId="77777777" w:rsidR="008C4C24" w:rsidRDefault="008C4C24" w:rsidP="005875F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C8BA" w14:textId="77777777" w:rsidR="005875F3" w:rsidRDefault="005875F3">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1FA8" w14:textId="77777777" w:rsidR="005875F3" w:rsidRPr="0098679A" w:rsidRDefault="005875F3" w:rsidP="005875F3">
    <w:pPr>
      <w:spacing w:after="0" w:line="240" w:lineRule="auto"/>
      <w:ind w:left="0" w:hanging="2"/>
      <w:rPr>
        <w:rFonts w:ascii="Goudy Old Style" w:hAnsi="Goudy Old Style"/>
        <w:sz w:val="20"/>
        <w:szCs w:val="20"/>
      </w:rPr>
    </w:pPr>
    <w:r w:rsidRPr="0098679A">
      <w:rPr>
        <w:rFonts w:ascii="Goudy Old Style" w:eastAsia="Goudy Old Style" w:hAnsi="Goudy Old Style" w:cs="Goudy Old Style"/>
        <w:b/>
        <w:sz w:val="20"/>
        <w:szCs w:val="20"/>
      </w:rPr>
      <w:t xml:space="preserve">International Journal of Environmental Sciences  </w:t>
    </w:r>
  </w:p>
  <w:p w14:paraId="11235410" w14:textId="77777777" w:rsidR="005875F3" w:rsidRPr="0098679A" w:rsidRDefault="005875F3" w:rsidP="005875F3">
    <w:pPr>
      <w:spacing w:after="0" w:line="240" w:lineRule="auto"/>
      <w:ind w:left="0" w:hanging="2"/>
      <w:rPr>
        <w:rFonts w:ascii="Goudy Old Style" w:hAnsi="Goudy Old Style"/>
        <w:sz w:val="20"/>
        <w:szCs w:val="20"/>
      </w:rPr>
    </w:pPr>
    <w:r w:rsidRPr="0098679A">
      <w:rPr>
        <w:rFonts w:ascii="Goudy Old Style" w:hAnsi="Goudy Old Style"/>
        <w:sz w:val="20"/>
        <w:szCs w:val="20"/>
      </w:rPr>
      <w:t>ISSN: 2229-7359</w:t>
    </w:r>
  </w:p>
  <w:p w14:paraId="135CB02C" w14:textId="77777777" w:rsidR="005875F3" w:rsidRPr="0098679A" w:rsidRDefault="005875F3" w:rsidP="005875F3">
    <w:pPr>
      <w:spacing w:after="0" w:line="240" w:lineRule="auto"/>
      <w:ind w:left="0" w:hanging="2"/>
      <w:rPr>
        <w:rFonts w:ascii="Goudy Old Style" w:hAnsi="Goudy Old Style"/>
        <w:sz w:val="20"/>
        <w:szCs w:val="20"/>
        <w:lang w:val="pt-BR"/>
      </w:rPr>
    </w:pPr>
    <w:r w:rsidRPr="0098679A">
      <w:rPr>
        <w:rFonts w:ascii="Goudy Old Style" w:hAnsi="Goudy Old Style"/>
        <w:sz w:val="20"/>
        <w:szCs w:val="20"/>
      </w:rPr>
      <w:t xml:space="preserve"> </w:t>
    </w:r>
    <w:r w:rsidRPr="0098679A">
      <w:rPr>
        <w:rFonts w:ascii="Goudy Old Style" w:hAnsi="Goudy Old Style"/>
        <w:sz w:val="20"/>
        <w:szCs w:val="20"/>
        <w:lang w:val="pt-BR"/>
      </w:rPr>
      <w:t xml:space="preserve">Vol. 11 No. </w:t>
    </w:r>
    <w:r>
      <w:rPr>
        <w:rFonts w:ascii="Goudy Old Style" w:hAnsi="Goudy Old Style"/>
        <w:sz w:val="20"/>
        <w:szCs w:val="20"/>
        <w:lang w:val="pt-BR"/>
      </w:rPr>
      <w:t>6</w:t>
    </w:r>
    <w:r w:rsidRPr="0098679A">
      <w:rPr>
        <w:rFonts w:ascii="Goudy Old Style" w:hAnsi="Goudy Old Style"/>
        <w:sz w:val="20"/>
        <w:szCs w:val="20"/>
        <w:lang w:val="pt-BR"/>
      </w:rPr>
      <w:t xml:space="preserve">, 2025 </w:t>
    </w:r>
  </w:p>
  <w:p w14:paraId="65DF50F6" w14:textId="77777777" w:rsidR="005875F3" w:rsidRDefault="005875F3" w:rsidP="005875F3">
    <w:pPr>
      <w:spacing w:after="0" w:line="240" w:lineRule="auto"/>
      <w:ind w:left="0" w:hanging="2"/>
      <w:rPr>
        <w:rFonts w:ascii="Goudy Old Style" w:eastAsia="Book Antiqua" w:hAnsi="Goudy Old Style" w:cs="Book Antiqua"/>
        <w:sz w:val="20"/>
        <w:szCs w:val="20"/>
        <w:lang w:val="pt-BR"/>
      </w:rPr>
    </w:pPr>
    <w:r w:rsidRPr="0098679A">
      <w:rPr>
        <w:rFonts w:ascii="Goudy Old Style" w:hAnsi="Goudy Old Style"/>
        <w:sz w:val="20"/>
        <w:szCs w:val="20"/>
        <w:lang w:val="pt-BR"/>
      </w:rPr>
      <w:t>https://www.theaspd.com/ijes.php</w:t>
    </w:r>
    <w:r w:rsidRPr="0098679A">
      <w:rPr>
        <w:rFonts w:ascii="Goudy Old Style" w:eastAsia="Book Antiqua" w:hAnsi="Goudy Old Style" w:cs="Book Antiqua"/>
        <w:sz w:val="20"/>
        <w:szCs w:val="20"/>
        <w:lang w:val="pt-B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6A2F" w14:textId="77777777" w:rsidR="005875F3" w:rsidRDefault="005875F3">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59DD"/>
    <w:multiLevelType w:val="multilevel"/>
    <w:tmpl w:val="446359D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543836"/>
    <w:multiLevelType w:val="multilevel"/>
    <w:tmpl w:val="64543836"/>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 w15:restartNumberingAfterBreak="0">
    <w:nsid w:val="6B38160E"/>
    <w:multiLevelType w:val="multilevel"/>
    <w:tmpl w:val="6B38160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BF574D"/>
    <w:multiLevelType w:val="multilevel"/>
    <w:tmpl w:val="76BF574D"/>
    <w:lvl w:ilvl="0">
      <w:start w:val="1"/>
      <w:numFmt w:val="bullet"/>
      <w:lvlText w:val=""/>
      <w:lvlJc w:val="left"/>
      <w:pPr>
        <w:tabs>
          <w:tab w:val="num" w:pos="1080"/>
        </w:tabs>
        <w:ind w:left="72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F942639"/>
    <w:multiLevelType w:val="multilevel"/>
    <w:tmpl w:val="7F942639"/>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0026185">
    <w:abstractNumId w:val="3"/>
  </w:num>
  <w:num w:numId="2" w16cid:durableId="2060130186">
    <w:abstractNumId w:val="2"/>
  </w:num>
  <w:num w:numId="3" w16cid:durableId="904293310">
    <w:abstractNumId w:val="4"/>
  </w:num>
  <w:num w:numId="4" w16cid:durableId="676426560">
    <w:abstractNumId w:val="0"/>
  </w:num>
  <w:num w:numId="5" w16cid:durableId="712997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E3szCwNDQxMjQxNjNV0lEKTi0uzszPAykwNqoFABfbwOMtAAAA"/>
  </w:docVars>
  <w:rsids>
    <w:rsidRoot w:val="005978C3"/>
    <w:rsid w:val="00007BB3"/>
    <w:rsid w:val="00020AD1"/>
    <w:rsid w:val="00031DD3"/>
    <w:rsid w:val="0005455F"/>
    <w:rsid w:val="00095B97"/>
    <w:rsid w:val="000A27C5"/>
    <w:rsid w:val="000A736D"/>
    <w:rsid w:val="000D3B08"/>
    <w:rsid w:val="00104BE8"/>
    <w:rsid w:val="00134D06"/>
    <w:rsid w:val="001442FB"/>
    <w:rsid w:val="001602D0"/>
    <w:rsid w:val="00167589"/>
    <w:rsid w:val="001A2AFE"/>
    <w:rsid w:val="001A46B8"/>
    <w:rsid w:val="001B42FB"/>
    <w:rsid w:val="001C619A"/>
    <w:rsid w:val="001D2346"/>
    <w:rsid w:val="001E46FC"/>
    <w:rsid w:val="00203BB4"/>
    <w:rsid w:val="0023082D"/>
    <w:rsid w:val="00252255"/>
    <w:rsid w:val="002606C5"/>
    <w:rsid w:val="00262428"/>
    <w:rsid w:val="00277FB2"/>
    <w:rsid w:val="00291C2D"/>
    <w:rsid w:val="002B0967"/>
    <w:rsid w:val="002B343E"/>
    <w:rsid w:val="002B50B2"/>
    <w:rsid w:val="002C09D1"/>
    <w:rsid w:val="002D6F32"/>
    <w:rsid w:val="002F08E9"/>
    <w:rsid w:val="00303D2D"/>
    <w:rsid w:val="00333C0F"/>
    <w:rsid w:val="003665C5"/>
    <w:rsid w:val="00373E45"/>
    <w:rsid w:val="003A5CDB"/>
    <w:rsid w:val="003C6AE4"/>
    <w:rsid w:val="003C6E70"/>
    <w:rsid w:val="003D3BE6"/>
    <w:rsid w:val="003F1CAF"/>
    <w:rsid w:val="004118FF"/>
    <w:rsid w:val="00422325"/>
    <w:rsid w:val="004256DF"/>
    <w:rsid w:val="00453B5D"/>
    <w:rsid w:val="00493125"/>
    <w:rsid w:val="004C0F3B"/>
    <w:rsid w:val="004D4D0B"/>
    <w:rsid w:val="00542A3A"/>
    <w:rsid w:val="005745B6"/>
    <w:rsid w:val="005875F3"/>
    <w:rsid w:val="00593F25"/>
    <w:rsid w:val="005978C3"/>
    <w:rsid w:val="005F2342"/>
    <w:rsid w:val="00676E27"/>
    <w:rsid w:val="0068506B"/>
    <w:rsid w:val="006C25B1"/>
    <w:rsid w:val="006F1133"/>
    <w:rsid w:val="007037BF"/>
    <w:rsid w:val="007B6258"/>
    <w:rsid w:val="007C307D"/>
    <w:rsid w:val="007C5451"/>
    <w:rsid w:val="007D2A28"/>
    <w:rsid w:val="00811146"/>
    <w:rsid w:val="008626ED"/>
    <w:rsid w:val="00870030"/>
    <w:rsid w:val="00870AE5"/>
    <w:rsid w:val="00882E02"/>
    <w:rsid w:val="00887876"/>
    <w:rsid w:val="008963C5"/>
    <w:rsid w:val="008C4C24"/>
    <w:rsid w:val="008F7316"/>
    <w:rsid w:val="0090602D"/>
    <w:rsid w:val="00906EDB"/>
    <w:rsid w:val="00914D63"/>
    <w:rsid w:val="00930A0C"/>
    <w:rsid w:val="00936AD4"/>
    <w:rsid w:val="0094706C"/>
    <w:rsid w:val="00953FFB"/>
    <w:rsid w:val="009A08DB"/>
    <w:rsid w:val="009C06D0"/>
    <w:rsid w:val="009C4964"/>
    <w:rsid w:val="009E5558"/>
    <w:rsid w:val="00A11C85"/>
    <w:rsid w:val="00A14511"/>
    <w:rsid w:val="00A17EAF"/>
    <w:rsid w:val="00A37512"/>
    <w:rsid w:val="00A51DA0"/>
    <w:rsid w:val="00A701DD"/>
    <w:rsid w:val="00A83C82"/>
    <w:rsid w:val="00AD2D4E"/>
    <w:rsid w:val="00AD6257"/>
    <w:rsid w:val="00AF66CC"/>
    <w:rsid w:val="00B03F47"/>
    <w:rsid w:val="00B17AC3"/>
    <w:rsid w:val="00B425D3"/>
    <w:rsid w:val="00B47EEF"/>
    <w:rsid w:val="00B84651"/>
    <w:rsid w:val="00B849A3"/>
    <w:rsid w:val="00B95BEB"/>
    <w:rsid w:val="00BA52CD"/>
    <w:rsid w:val="00BD7FDB"/>
    <w:rsid w:val="00C07128"/>
    <w:rsid w:val="00C5145B"/>
    <w:rsid w:val="00C8000D"/>
    <w:rsid w:val="00C86B76"/>
    <w:rsid w:val="00C96A8B"/>
    <w:rsid w:val="00CE022F"/>
    <w:rsid w:val="00CE2350"/>
    <w:rsid w:val="00D22129"/>
    <w:rsid w:val="00D31A3A"/>
    <w:rsid w:val="00D32E51"/>
    <w:rsid w:val="00D34DBB"/>
    <w:rsid w:val="00D4691A"/>
    <w:rsid w:val="00D60C81"/>
    <w:rsid w:val="00D677A9"/>
    <w:rsid w:val="00D85DCD"/>
    <w:rsid w:val="00DE404F"/>
    <w:rsid w:val="00DE73DC"/>
    <w:rsid w:val="00DF4E7D"/>
    <w:rsid w:val="00E13770"/>
    <w:rsid w:val="00E20844"/>
    <w:rsid w:val="00E2124B"/>
    <w:rsid w:val="00E33209"/>
    <w:rsid w:val="00E7584A"/>
    <w:rsid w:val="00E7679C"/>
    <w:rsid w:val="00E90E73"/>
    <w:rsid w:val="00E93F89"/>
    <w:rsid w:val="00EC7D63"/>
    <w:rsid w:val="00ED4756"/>
    <w:rsid w:val="00EF4ED9"/>
    <w:rsid w:val="00F02027"/>
    <w:rsid w:val="00F06C16"/>
    <w:rsid w:val="00F23523"/>
    <w:rsid w:val="00F30FC2"/>
    <w:rsid w:val="00F657F6"/>
    <w:rsid w:val="00F94541"/>
    <w:rsid w:val="00FB0D03"/>
    <w:rsid w:val="00FD337E"/>
    <w:rsid w:val="00FF009E"/>
    <w:rsid w:val="055F2A5D"/>
    <w:rsid w:val="21BE6A24"/>
    <w:rsid w:val="3DEC1EC7"/>
    <w:rsid w:val="3E6241F5"/>
    <w:rsid w:val="486758D6"/>
    <w:rsid w:val="55866C5D"/>
    <w:rsid w:val="65DC2FA1"/>
    <w:rsid w:val="69FB1FC5"/>
    <w:rsid w:val="6EAE3DA2"/>
    <w:rsid w:val="75EA0B89"/>
    <w:rsid w:val="7A4975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226A687"/>
  <w15:chartTrackingRefBased/>
  <w15:docId w15:val="{B389F2D6-140C-4B93-A92C-C6CAC2A9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Cod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after="200" w:line="276" w:lineRule="auto"/>
      <w:ind w:leftChars="-1" w:left="-1" w:hangingChars="1" w:hanging="1"/>
      <w:textAlignment w:val="top"/>
      <w:outlineLvl w:val="0"/>
    </w:pPr>
    <w:rPr>
      <w:position w:val="-1"/>
      <w:sz w:val="22"/>
      <w:szCs w:val="22"/>
      <w:lang w:val="en-US" w:eastAsia="en-US"/>
    </w:rPr>
  </w:style>
  <w:style w:type="paragraph" w:styleId="Heading1">
    <w:name w:val="heading 1"/>
    <w:basedOn w:val="Normal"/>
    <w:link w:val="Heading1Char"/>
    <w:qFormat/>
    <w:pPr>
      <w:ind w:left="348"/>
      <w:jc w:val="center"/>
    </w:pPr>
    <w:rPr>
      <w:rFonts w:ascii="Times New Roman" w:eastAsia="Times New Roman" w:hAnsi="Times New Roman" w:cs="Times New Roman"/>
    </w:rPr>
  </w:style>
  <w:style w:type="paragraph" w:styleId="Heading2">
    <w:name w:val="heading 2"/>
    <w:next w:val="Normal"/>
    <w:qFormat/>
    <w:pPr>
      <w:keepNext/>
      <w:suppressAutoHyphens/>
      <w:spacing w:before="240" w:after="60" w:line="276" w:lineRule="auto"/>
      <w:ind w:leftChars="-1" w:left="-1" w:hangingChars="1" w:hanging="1"/>
      <w:textAlignment w:val="top"/>
      <w:outlineLvl w:val="1"/>
    </w:pPr>
    <w:rPr>
      <w:rFonts w:ascii="Cambria" w:eastAsia="Times New Roman" w:hAnsi="Cambria" w:cs="Times New Roman"/>
      <w:b/>
      <w:bCs/>
      <w:i/>
      <w:iCs/>
      <w:position w:val="-1"/>
      <w:sz w:val="28"/>
      <w:szCs w:val="28"/>
      <w:lang w:val="en-US" w:eastAsia="en-US"/>
    </w:rPr>
  </w:style>
  <w:style w:type="paragraph" w:styleId="Heading3">
    <w:name w:val="heading 3"/>
    <w:next w:val="Normal"/>
    <w:qFormat/>
    <w:pPr>
      <w:suppressAutoHyphens/>
      <w:spacing w:before="100" w:beforeAutospacing="1" w:after="100" w:afterAutospacing="1"/>
      <w:ind w:leftChars="-1" w:left="-1" w:hangingChars="1" w:hanging="1"/>
      <w:textAlignment w:val="top"/>
      <w:outlineLvl w:val="2"/>
    </w:pPr>
    <w:rPr>
      <w:rFonts w:ascii="Times New Roman" w:eastAsia="Times New Roman" w:hAnsi="Times New Roman"/>
      <w:b/>
      <w:bCs/>
      <w:position w:val="-1"/>
      <w:sz w:val="27"/>
      <w:szCs w:val="27"/>
      <w:lang w:val="en-US" w:eastAsia="en-US"/>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position w:val="-1"/>
      <w:sz w:val="22"/>
      <w:szCs w:val="22"/>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link w:val="BalloonText"/>
    <w:rPr>
      <w:rFonts w:ascii="Tahoma" w:hAnsi="Tahoma" w:cs="Tahoma"/>
      <w:position w:val="-1"/>
      <w:sz w:val="16"/>
      <w:szCs w:val="16"/>
    </w:rPr>
  </w:style>
  <w:style w:type="paragraph" w:styleId="BodyText">
    <w:name w:val="Body Text"/>
    <w:basedOn w:val="Normal"/>
    <w:link w:val="BodyTextChar"/>
    <w:pPr>
      <w:ind w:left="119"/>
      <w:jc w:val="both"/>
    </w:pPr>
    <w:rPr>
      <w:rFonts w:ascii="Times New Roman" w:eastAsia="Times New Roman" w:hAnsi="Times New Roman" w:cs="Times New Roman"/>
      <w:sz w:val="20"/>
      <w:szCs w:val="20"/>
    </w:rPr>
  </w:style>
  <w:style w:type="character" w:customStyle="1" w:styleId="BodyTextChar">
    <w:name w:val="Body Text Char"/>
    <w:link w:val="BodyText"/>
    <w:rPr>
      <w:rFonts w:ascii="Times New Roman" w:eastAsia="Times New Roman" w:hAnsi="Times New Roman" w:cs="Times New Roman"/>
      <w:position w:val="-1"/>
    </w:rPr>
  </w:style>
  <w:style w:type="character" w:styleId="Emphasis">
    <w:name w:val="Emphasis"/>
    <w:uiPriority w:val="20"/>
    <w:qFormat/>
    <w:rPr>
      <w:i/>
      <w:iCs/>
      <w:w w:val="100"/>
      <w:position w:val="-1"/>
      <w:vertAlign w:val="baseline"/>
      <w:cs w:val="0"/>
    </w:rPr>
  </w:style>
  <w:style w:type="paragraph" w:styleId="Footer">
    <w:name w:val="footer"/>
    <w:basedOn w:val="Normal"/>
    <w:uiPriority w:val="99"/>
    <w:qFormat/>
    <w:pPr>
      <w:tabs>
        <w:tab w:val="center" w:pos="4680"/>
        <w:tab w:val="right" w:pos="9360"/>
      </w:tabs>
    </w:pPr>
  </w:style>
  <w:style w:type="paragraph" w:styleId="Header">
    <w:name w:val="header"/>
    <w:basedOn w:val="Normal"/>
    <w:qFormat/>
    <w:pPr>
      <w:tabs>
        <w:tab w:val="center" w:pos="4680"/>
        <w:tab w:val="right" w:pos="9360"/>
      </w:tabs>
    </w:pPr>
  </w:style>
  <w:style w:type="character" w:styleId="HTMLCode">
    <w:name w:val="HTML Code"/>
    <w:qFormat/>
    <w:rPr>
      <w:rFonts w:ascii="Courier New" w:eastAsia="Times New Roman" w:hAnsi="Courier New" w:cs="Courier New"/>
      <w:w w:val="100"/>
      <w:position w:val="-1"/>
      <w:sz w:val="20"/>
      <w:szCs w:val="20"/>
      <w:vertAlign w:val="baseline"/>
      <w:cs w:val="0"/>
    </w:rPr>
  </w:style>
  <w:style w:type="character" w:styleId="Hyperlink">
    <w:name w:val="Hyperlink"/>
    <w:qFormat/>
    <w:rPr>
      <w:color w:val="0000FF"/>
      <w:w w:val="100"/>
      <w:position w:val="-1"/>
      <w:u w:val="single"/>
      <w:vertAlign w:val="baseline"/>
      <w:cs w:val="0"/>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Pr>
      <w:b/>
      <w:bCs/>
      <w:w w:val="100"/>
      <w:position w:val="-1"/>
      <w:vertAlign w:val="baseline"/>
      <w:cs w:val="0"/>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1"/>
    <w:pPr>
      <w:suppressAutoHyphens/>
      <w:spacing w:line="1" w:lineRule="atLeast"/>
      <w:ind w:leftChars="-1" w:left="-1" w:hangingChars="1" w:hanging="1"/>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qFormat/>
    <w:rPr>
      <w:lang w:val="en-US" w:eastAsia="en-US"/>
    </w:rPr>
    <w:tblPr>
      <w:tblCellMar>
        <w:top w:w="0" w:type="dxa"/>
        <w:left w:w="0" w:type="dxa"/>
        <w:bottom w:w="0" w:type="dxa"/>
        <w:right w:w="0" w:type="dxa"/>
      </w:tblCellMar>
    </w:tblPr>
  </w:style>
  <w:style w:type="paragraph" w:styleId="Title">
    <w:name w:val="Title"/>
    <w:basedOn w:val="Normal"/>
    <w:next w:val="Normal"/>
    <w:qFormat/>
    <w:pPr>
      <w:keepNext/>
      <w:keepLines/>
      <w:spacing w:before="480" w:after="120"/>
    </w:pPr>
    <w:rPr>
      <w:b/>
      <w:sz w:val="72"/>
      <w:szCs w:val="72"/>
    </w:rPr>
  </w:style>
  <w:style w:type="table" w:customStyle="1" w:styleId="TableNormal2">
    <w:name w:val="Table Normal2"/>
    <w:qFormat/>
    <w:pPr>
      <w:suppressAutoHyphens/>
      <w:spacing w:line="1" w:lineRule="atLeast"/>
      <w:ind w:leftChars="-1" w:left="-1" w:hangingChars="1" w:hanging="1"/>
      <w:textAlignment w:val="top"/>
      <w:outlineLvl w:val="0"/>
    </w:pPr>
    <w:rPr>
      <w:position w:val="-1"/>
      <w:lang w:val="en-US" w:eastAsia="en-US"/>
    </w:rPr>
    <w:tblPr>
      <w:tblCellMar>
        <w:top w:w="0" w:type="dxa"/>
        <w:left w:w="108" w:type="dxa"/>
        <w:bottom w:w="0" w:type="dxa"/>
        <w:right w:w="108" w:type="dxa"/>
      </w:tblCellMar>
    </w:tblPr>
  </w:style>
  <w:style w:type="character" w:customStyle="1" w:styleId="Heading2Char">
    <w:name w:val="Heading 2 Char"/>
    <w:rPr>
      <w:rFonts w:ascii="Cambria" w:eastAsia="Times New Roman" w:hAnsi="Cambria" w:cs="Times New Roman"/>
      <w:b/>
      <w:bCs/>
      <w:i/>
      <w:iCs/>
      <w:w w:val="100"/>
      <w:position w:val="-1"/>
      <w:sz w:val="28"/>
      <w:szCs w:val="28"/>
      <w:vertAlign w:val="baseline"/>
      <w:cs w:val="0"/>
    </w:rPr>
  </w:style>
  <w:style w:type="character" w:customStyle="1" w:styleId="Heading3Char">
    <w:name w:val="Heading 3 Char"/>
    <w:rPr>
      <w:rFonts w:ascii="Times New Roman" w:eastAsia="Times New Roman" w:hAnsi="Times New Roman"/>
      <w:b/>
      <w:bCs/>
      <w:w w:val="100"/>
      <w:position w:val="-1"/>
      <w:sz w:val="27"/>
      <w:szCs w:val="27"/>
      <w:vertAlign w:val="baseline"/>
      <w:cs w:val="0"/>
    </w:rPr>
  </w:style>
  <w:style w:type="character" w:customStyle="1" w:styleId="FooterChar">
    <w:name w:val="Footer Char"/>
    <w:uiPriority w:val="99"/>
    <w:rPr>
      <w:w w:val="100"/>
      <w:position w:val="-1"/>
      <w:sz w:val="22"/>
      <w:szCs w:val="22"/>
      <w:vertAlign w:val="baseline"/>
      <w:cs w:val="0"/>
    </w:rPr>
  </w:style>
  <w:style w:type="character" w:customStyle="1" w:styleId="HeaderChar">
    <w:name w:val="Header Char"/>
    <w:rPr>
      <w:w w:val="100"/>
      <w:position w:val="-1"/>
      <w:sz w:val="22"/>
      <w:szCs w:val="22"/>
      <w:vertAlign w:val="baseline"/>
      <w:cs w:val="0"/>
    </w:rPr>
  </w:style>
  <w:style w:type="character" w:customStyle="1" w:styleId="overflow-hidden">
    <w:name w:val="overflow-hidden"/>
    <w:rPr>
      <w:w w:val="100"/>
      <w:position w:val="-1"/>
      <w:vertAlign w:val="baseline"/>
      <w:cs w:val="0"/>
    </w:rPr>
  </w:style>
  <w:style w:type="character" w:customStyle="1" w:styleId="hljs-keyword">
    <w:name w:val="hljs-keyword"/>
    <w:rPr>
      <w:w w:val="100"/>
      <w:position w:val="-1"/>
      <w:vertAlign w:val="baseline"/>
      <w:cs w:val="0"/>
    </w:rPr>
  </w:style>
  <w:style w:type="character" w:customStyle="1" w:styleId="hljs-operator">
    <w:name w:val="hljs-operator"/>
    <w:rPr>
      <w:w w:val="100"/>
      <w:position w:val="-1"/>
      <w:vertAlign w:val="baseline"/>
      <w:cs w:val="0"/>
    </w:rPr>
  </w:style>
  <w:style w:type="table" w:customStyle="1" w:styleId="Style32">
    <w:name w:val="_Style 32"/>
    <w:basedOn w:val="TableNormal1"/>
    <w:qFormat/>
    <w:tblPr>
      <w:tblCellMar>
        <w:left w:w="108" w:type="dxa"/>
        <w:right w:w="108" w:type="dxa"/>
      </w:tblCellMar>
    </w:tblPr>
  </w:style>
  <w:style w:type="table" w:customStyle="1" w:styleId="Style33">
    <w:name w:val="_Style 33"/>
    <w:basedOn w:val="TableNormal1"/>
    <w:qFormat/>
    <w:tblPr>
      <w:tblCellMar>
        <w:left w:w="108" w:type="dxa"/>
        <w:right w:w="108" w:type="dxa"/>
      </w:tblCellMar>
    </w:tblPr>
  </w:style>
  <w:style w:type="table" w:customStyle="1" w:styleId="Style34">
    <w:name w:val="_Style 34"/>
    <w:basedOn w:val="TableNormal1"/>
    <w:qFormat/>
    <w:tblPr>
      <w:tblCellMar>
        <w:left w:w="108" w:type="dxa"/>
        <w:right w:w="108" w:type="dxa"/>
      </w:tblCellMar>
    </w:tblPr>
  </w:style>
  <w:style w:type="paragraph" w:styleId="ListParagraph">
    <w:name w:val="List Paragraph"/>
    <w:basedOn w:val="Normal"/>
    <w:uiPriority w:val="99"/>
    <w:qFormat/>
    <w:pPr>
      <w:ind w:left="720"/>
      <w:contextualSpacing/>
    </w:pPr>
  </w:style>
  <w:style w:type="character" w:customStyle="1" w:styleId="katex-mathml">
    <w:name w:val="katex-mathml"/>
  </w:style>
  <w:style w:type="character" w:customStyle="1" w:styleId="mord">
    <w:name w:val="mord"/>
  </w:style>
  <w:style w:type="character" w:customStyle="1" w:styleId="mrel">
    <w:name w:val="mrel"/>
  </w:style>
  <w:style w:type="character" w:customStyle="1" w:styleId="mbin">
    <w:name w:val="mbin"/>
  </w:style>
  <w:style w:type="character" w:customStyle="1" w:styleId="vlist-s">
    <w:name w:val="vlist-s"/>
  </w:style>
  <w:style w:type="character" w:styleId="UnresolvedMention">
    <w:name w:val="Unresolved Mention"/>
    <w:uiPriority w:val="99"/>
    <w:semiHidden/>
    <w:unhideWhenUsed/>
    <w:rsid w:val="00587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pvkishanrao@gmail.com1," TargetMode="External"/><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doi.org/10.1109/ACCESS.2020.29898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barChart>
        <c:barDir val="col"/>
        <c:grouping val="clustered"/>
        <c:varyColors val="1"/>
        <c:ser>
          <c:idx val="0"/>
          <c:order val="0"/>
          <c:tx>
            <c:strRef>
              <c:f>Sheet1!$E$3</c:f>
              <c:strCache>
                <c:ptCount val="1"/>
                <c:pt idx="0">
                  <c:v>GRA-Based Accuracy (%)</c:v>
                </c:pt>
              </c:strCache>
            </c:strRef>
          </c:tx>
          <c:invertIfNegative val="1"/>
          <c:cat>
            <c:strRef>
              <c:f>Sheet1!$D$4:$D$11</c:f>
              <c:strCache>
                <c:ptCount val="8"/>
                <c:pt idx="0">
                  <c:v>Support Vector Classifier (SVC)</c:v>
                </c:pt>
                <c:pt idx="1">
                  <c:v>Decision Tree Classifier (DT)</c:v>
                </c:pt>
                <c:pt idx="2">
                  <c:v>K-Nearest Neighbors (KNN)</c:v>
                </c:pt>
                <c:pt idx="3">
                  <c:v>Logistic Regression (LR)</c:v>
                </c:pt>
                <c:pt idx="4">
                  <c:v>Random Forest Classifier (RF)</c:v>
                </c:pt>
                <c:pt idx="5">
                  <c:v>AdaBoost Classifier</c:v>
                </c:pt>
                <c:pt idx="6">
                  <c:v>Gradient Boosting (GB)</c:v>
                </c:pt>
                <c:pt idx="7">
                  <c:v>Ensemble  Model (RF + SVM + XGBoost)</c:v>
                </c:pt>
              </c:strCache>
            </c:strRef>
          </c:cat>
          <c:val>
            <c:numRef>
              <c:f>Sheet1!$E$4:$E$11</c:f>
              <c:numCache>
                <c:formatCode>General</c:formatCode>
                <c:ptCount val="8"/>
                <c:pt idx="0">
                  <c:v>86.3</c:v>
                </c:pt>
                <c:pt idx="1">
                  <c:v>97.3</c:v>
                </c:pt>
                <c:pt idx="2">
                  <c:v>87.6</c:v>
                </c:pt>
                <c:pt idx="3">
                  <c:v>89.3</c:v>
                </c:pt>
                <c:pt idx="4">
                  <c:v>97.3</c:v>
                </c:pt>
                <c:pt idx="5">
                  <c:v>95</c:v>
                </c:pt>
                <c:pt idx="6">
                  <c:v>97.6</c:v>
                </c:pt>
                <c:pt idx="7">
                  <c:v>98.6</c:v>
                </c:pt>
              </c:numCache>
            </c:numRef>
          </c:val>
          <c:extLst>
            <c:ext xmlns:c16="http://schemas.microsoft.com/office/drawing/2014/chart" uri="{C3380CC4-5D6E-409C-BE32-E72D297353CC}">
              <c16:uniqueId val="{00000000-D3ED-4827-A765-B19B2C6E2767}"/>
            </c:ext>
          </c:extLst>
        </c:ser>
        <c:ser>
          <c:idx val="1"/>
          <c:order val="1"/>
          <c:tx>
            <c:strRef>
              <c:f>Sheet1!$F$3</c:f>
              <c:strCache>
                <c:ptCount val="1"/>
                <c:pt idx="0">
                  <c:v>GRA + GWO Accuracy (%)</c:v>
                </c:pt>
              </c:strCache>
            </c:strRef>
          </c:tx>
          <c:invertIfNegative val="1"/>
          <c:cat>
            <c:strRef>
              <c:f>Sheet1!$D$4:$D$11</c:f>
              <c:strCache>
                <c:ptCount val="8"/>
                <c:pt idx="0">
                  <c:v>Support Vector Classifier (SVC)</c:v>
                </c:pt>
                <c:pt idx="1">
                  <c:v>Decision Tree Classifier (DT)</c:v>
                </c:pt>
                <c:pt idx="2">
                  <c:v>K-Nearest Neighbors (KNN)</c:v>
                </c:pt>
                <c:pt idx="3">
                  <c:v>Logistic Regression (LR)</c:v>
                </c:pt>
                <c:pt idx="4">
                  <c:v>Random Forest Classifier (RF)</c:v>
                </c:pt>
                <c:pt idx="5">
                  <c:v>AdaBoost Classifier</c:v>
                </c:pt>
                <c:pt idx="6">
                  <c:v>Gradient Boosting (GB)</c:v>
                </c:pt>
                <c:pt idx="7">
                  <c:v>Ensemble  Model (RF + SVM + XGBoost)</c:v>
                </c:pt>
              </c:strCache>
            </c:strRef>
          </c:cat>
          <c:val>
            <c:numRef>
              <c:f>Sheet1!$F$4:$F$11</c:f>
              <c:numCache>
                <c:formatCode>General</c:formatCode>
                <c:ptCount val="8"/>
                <c:pt idx="0">
                  <c:v>88.5</c:v>
                </c:pt>
                <c:pt idx="1">
                  <c:v>98.1</c:v>
                </c:pt>
                <c:pt idx="2">
                  <c:v>90.2</c:v>
                </c:pt>
                <c:pt idx="3">
                  <c:v>91</c:v>
                </c:pt>
                <c:pt idx="4">
                  <c:v>98.4</c:v>
                </c:pt>
                <c:pt idx="5">
                  <c:v>96.8</c:v>
                </c:pt>
                <c:pt idx="6">
                  <c:v>98.5</c:v>
                </c:pt>
                <c:pt idx="7">
                  <c:v>99.2</c:v>
                </c:pt>
              </c:numCache>
            </c:numRef>
          </c:val>
          <c:extLst>
            <c:ext xmlns:c16="http://schemas.microsoft.com/office/drawing/2014/chart" uri="{C3380CC4-5D6E-409C-BE32-E72D297353CC}">
              <c16:uniqueId val="{00000001-D3ED-4827-A765-B19B2C6E2767}"/>
            </c:ext>
          </c:extLst>
        </c:ser>
        <c:dLbls>
          <c:showLegendKey val="0"/>
          <c:showVal val="0"/>
          <c:showCatName val="0"/>
          <c:showSerName val="0"/>
          <c:showPercent val="0"/>
          <c:showBubbleSize val="0"/>
        </c:dLbls>
        <c:gapWidth val="150"/>
        <c:axId val="90440448"/>
        <c:axId val="90441984"/>
      </c:barChart>
      <c:catAx>
        <c:axId val="90440448"/>
        <c:scaling>
          <c:orientation val="minMax"/>
        </c:scaling>
        <c:delete val="1"/>
        <c:axPos val="b"/>
        <c:numFmt formatCode="General" sourceLinked="0"/>
        <c:majorTickMark val="cross"/>
        <c:minorTickMark val="cross"/>
        <c:tickLblPos val="nextTo"/>
        <c:crossAx val="90441984"/>
        <c:crosses val="autoZero"/>
        <c:auto val="1"/>
        <c:lblAlgn val="ctr"/>
        <c:lblOffset val="100"/>
        <c:noMultiLvlLbl val="1"/>
      </c:catAx>
      <c:valAx>
        <c:axId val="90441984"/>
        <c:scaling>
          <c:orientation val="minMax"/>
        </c:scaling>
        <c:delete val="1"/>
        <c:axPos val="l"/>
        <c:majorGridlines/>
        <c:numFmt formatCode="General" sourceLinked="1"/>
        <c:majorTickMark val="cross"/>
        <c:minorTickMark val="cross"/>
        <c:tickLblPos val="nextTo"/>
        <c:crossAx val="90440448"/>
        <c:crosses val="autoZero"/>
        <c:crossBetween val="between"/>
      </c:valAx>
    </c:plotArea>
    <c:legend>
      <c:legendPos val="r"/>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barChart>
        <c:barDir val="col"/>
        <c:grouping val="clustered"/>
        <c:varyColors val="1"/>
        <c:ser>
          <c:idx val="0"/>
          <c:order val="0"/>
          <c:tx>
            <c:strRef>
              <c:f>Sheet1!$E$3</c:f>
              <c:strCache>
                <c:ptCount val="1"/>
                <c:pt idx="0">
                  <c:v>Precision (%)</c:v>
                </c:pt>
              </c:strCache>
            </c:strRef>
          </c:tx>
          <c:invertIfNegative val="1"/>
          <c:cat>
            <c:strRef>
              <c:f>Sheet1!$D$4:$D$11</c:f>
              <c:strCache>
                <c:ptCount val="8"/>
                <c:pt idx="0">
                  <c:v>Support Vector Classifier (SVC)</c:v>
                </c:pt>
                <c:pt idx="1">
                  <c:v>Decision Tree Classifier (DT)</c:v>
                </c:pt>
                <c:pt idx="2">
                  <c:v>K-Nearest Neighbors (KNN)</c:v>
                </c:pt>
                <c:pt idx="3">
                  <c:v>Logistic Regression (LR)</c:v>
                </c:pt>
                <c:pt idx="4">
                  <c:v>Random Forest Classifier (RF)</c:v>
                </c:pt>
                <c:pt idx="5">
                  <c:v>AdaBoost Classifier</c:v>
                </c:pt>
                <c:pt idx="6">
                  <c:v>Gradient Boosting (GB)</c:v>
                </c:pt>
                <c:pt idx="7">
                  <c:v>Ensemble  Model (RF + SVM + XGBoost)</c:v>
                </c:pt>
              </c:strCache>
            </c:strRef>
          </c:cat>
          <c:val>
            <c:numRef>
              <c:f>Sheet1!$E$4:$E$11</c:f>
              <c:numCache>
                <c:formatCode>General</c:formatCode>
                <c:ptCount val="8"/>
                <c:pt idx="0">
                  <c:v>84.2</c:v>
                </c:pt>
                <c:pt idx="1">
                  <c:v>96.8</c:v>
                </c:pt>
                <c:pt idx="2">
                  <c:v>85.4</c:v>
                </c:pt>
                <c:pt idx="3">
                  <c:v>90.1</c:v>
                </c:pt>
                <c:pt idx="4">
                  <c:v>96.5</c:v>
                </c:pt>
                <c:pt idx="5">
                  <c:v>94.1</c:v>
                </c:pt>
                <c:pt idx="6">
                  <c:v>97.1</c:v>
                </c:pt>
                <c:pt idx="7">
                  <c:v>98</c:v>
                </c:pt>
              </c:numCache>
            </c:numRef>
          </c:val>
          <c:extLst>
            <c:ext xmlns:c16="http://schemas.microsoft.com/office/drawing/2014/chart" uri="{C3380CC4-5D6E-409C-BE32-E72D297353CC}">
              <c16:uniqueId val="{00000000-2C3F-45F9-AF26-44E5ACB6CFAE}"/>
            </c:ext>
          </c:extLst>
        </c:ser>
        <c:ser>
          <c:idx val="1"/>
          <c:order val="1"/>
          <c:tx>
            <c:strRef>
              <c:f>Sheet1!$F$3</c:f>
              <c:strCache>
                <c:ptCount val="1"/>
                <c:pt idx="0">
                  <c:v>Recall (%)</c:v>
                </c:pt>
              </c:strCache>
            </c:strRef>
          </c:tx>
          <c:invertIfNegative val="1"/>
          <c:cat>
            <c:strRef>
              <c:f>Sheet1!$D$4:$D$11</c:f>
              <c:strCache>
                <c:ptCount val="8"/>
                <c:pt idx="0">
                  <c:v>Support Vector Classifier (SVC)</c:v>
                </c:pt>
                <c:pt idx="1">
                  <c:v>Decision Tree Classifier (DT)</c:v>
                </c:pt>
                <c:pt idx="2">
                  <c:v>K-Nearest Neighbors (KNN)</c:v>
                </c:pt>
                <c:pt idx="3">
                  <c:v>Logistic Regression (LR)</c:v>
                </c:pt>
                <c:pt idx="4">
                  <c:v>Random Forest Classifier (RF)</c:v>
                </c:pt>
                <c:pt idx="5">
                  <c:v>AdaBoost Classifier</c:v>
                </c:pt>
                <c:pt idx="6">
                  <c:v>Gradient Boosting (GB)</c:v>
                </c:pt>
                <c:pt idx="7">
                  <c:v>Ensemble  Model (RF + SVM + XGBoost)</c:v>
                </c:pt>
              </c:strCache>
            </c:strRef>
          </c:cat>
          <c:val>
            <c:numRef>
              <c:f>Sheet1!$F$4:$F$11</c:f>
              <c:numCache>
                <c:formatCode>General</c:formatCode>
                <c:ptCount val="8"/>
                <c:pt idx="0">
                  <c:v>92.1</c:v>
                </c:pt>
                <c:pt idx="1">
                  <c:v>97.9</c:v>
                </c:pt>
                <c:pt idx="2">
                  <c:v>89.7</c:v>
                </c:pt>
                <c:pt idx="3">
                  <c:v>90.6</c:v>
                </c:pt>
                <c:pt idx="4">
                  <c:v>98.3</c:v>
                </c:pt>
                <c:pt idx="5">
                  <c:v>96.5</c:v>
                </c:pt>
                <c:pt idx="6">
                  <c:v>98</c:v>
                </c:pt>
                <c:pt idx="7">
                  <c:v>99</c:v>
                </c:pt>
              </c:numCache>
            </c:numRef>
          </c:val>
          <c:extLst>
            <c:ext xmlns:c16="http://schemas.microsoft.com/office/drawing/2014/chart" uri="{C3380CC4-5D6E-409C-BE32-E72D297353CC}">
              <c16:uniqueId val="{00000001-2C3F-45F9-AF26-44E5ACB6CFAE}"/>
            </c:ext>
          </c:extLst>
        </c:ser>
        <c:ser>
          <c:idx val="2"/>
          <c:order val="2"/>
          <c:tx>
            <c:strRef>
              <c:f>Sheet1!$G$3</c:f>
              <c:strCache>
                <c:ptCount val="1"/>
                <c:pt idx="0">
                  <c:v>F1-Score (%)</c:v>
                </c:pt>
              </c:strCache>
            </c:strRef>
          </c:tx>
          <c:invertIfNegative val="1"/>
          <c:cat>
            <c:strRef>
              <c:f>Sheet1!$D$4:$D$11</c:f>
              <c:strCache>
                <c:ptCount val="8"/>
                <c:pt idx="0">
                  <c:v>Support Vector Classifier (SVC)</c:v>
                </c:pt>
                <c:pt idx="1">
                  <c:v>Decision Tree Classifier (DT)</c:v>
                </c:pt>
                <c:pt idx="2">
                  <c:v>K-Nearest Neighbors (KNN)</c:v>
                </c:pt>
                <c:pt idx="3">
                  <c:v>Logistic Regression (LR)</c:v>
                </c:pt>
                <c:pt idx="4">
                  <c:v>Random Forest Classifier (RF)</c:v>
                </c:pt>
                <c:pt idx="5">
                  <c:v>AdaBoost Classifier</c:v>
                </c:pt>
                <c:pt idx="6">
                  <c:v>Gradient Boosting (GB)</c:v>
                </c:pt>
                <c:pt idx="7">
                  <c:v>Ensemble  Model (RF + SVM + XGBoost)</c:v>
                </c:pt>
              </c:strCache>
            </c:strRef>
          </c:cat>
          <c:val>
            <c:numRef>
              <c:f>Sheet1!$G$4:$G$11</c:f>
              <c:numCache>
                <c:formatCode>General</c:formatCode>
                <c:ptCount val="8"/>
                <c:pt idx="0">
                  <c:v>88</c:v>
                </c:pt>
                <c:pt idx="1">
                  <c:v>97.3</c:v>
                </c:pt>
                <c:pt idx="2">
                  <c:v>87.5</c:v>
                </c:pt>
                <c:pt idx="3">
                  <c:v>90.3</c:v>
                </c:pt>
                <c:pt idx="4">
                  <c:v>97.4</c:v>
                </c:pt>
                <c:pt idx="5">
                  <c:v>95.3</c:v>
                </c:pt>
                <c:pt idx="6">
                  <c:v>97.5</c:v>
                </c:pt>
                <c:pt idx="7">
                  <c:v>98.5</c:v>
                </c:pt>
              </c:numCache>
            </c:numRef>
          </c:val>
          <c:extLst>
            <c:ext xmlns:c16="http://schemas.microsoft.com/office/drawing/2014/chart" uri="{C3380CC4-5D6E-409C-BE32-E72D297353CC}">
              <c16:uniqueId val="{00000002-2C3F-45F9-AF26-44E5ACB6CFAE}"/>
            </c:ext>
          </c:extLst>
        </c:ser>
        <c:dLbls>
          <c:showLegendKey val="0"/>
          <c:showVal val="0"/>
          <c:showCatName val="0"/>
          <c:showSerName val="0"/>
          <c:showPercent val="0"/>
          <c:showBubbleSize val="0"/>
        </c:dLbls>
        <c:gapWidth val="150"/>
        <c:axId val="13869824"/>
        <c:axId val="13872128"/>
      </c:barChart>
      <c:catAx>
        <c:axId val="13869824"/>
        <c:scaling>
          <c:orientation val="minMax"/>
        </c:scaling>
        <c:delete val="1"/>
        <c:axPos val="b"/>
        <c:numFmt formatCode="General" sourceLinked="0"/>
        <c:majorTickMark val="cross"/>
        <c:minorTickMark val="cross"/>
        <c:tickLblPos val="nextTo"/>
        <c:crossAx val="13872128"/>
        <c:crosses val="autoZero"/>
        <c:auto val="1"/>
        <c:lblAlgn val="ctr"/>
        <c:lblOffset val="100"/>
        <c:noMultiLvlLbl val="1"/>
      </c:catAx>
      <c:valAx>
        <c:axId val="13872128"/>
        <c:scaling>
          <c:orientation val="minMax"/>
        </c:scaling>
        <c:delete val="1"/>
        <c:axPos val="l"/>
        <c:majorGridlines/>
        <c:numFmt formatCode="General" sourceLinked="1"/>
        <c:majorTickMark val="cross"/>
        <c:minorTickMark val="cross"/>
        <c:tickLblPos val="nextTo"/>
        <c:crossAx val="13869824"/>
        <c:crosses val="autoZero"/>
        <c:crossBetween val="between"/>
      </c:valAx>
    </c:plotArea>
    <c:legend>
      <c:legendPos val="r"/>
      <c:overlay val="1"/>
    </c:legend>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6695</Words>
  <Characters>38167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44773</CharactersWithSpaces>
  <SharedDoc>false</SharedDoc>
  <HLinks>
    <vt:vector size="12" baseType="variant">
      <vt:variant>
        <vt:i4>8192063</vt:i4>
      </vt:variant>
      <vt:variant>
        <vt:i4>3</vt:i4>
      </vt:variant>
      <vt:variant>
        <vt:i4>0</vt:i4>
      </vt:variant>
      <vt:variant>
        <vt:i4>5</vt:i4>
      </vt:variant>
      <vt:variant>
        <vt:lpwstr>https://doi.org/10.1109/ACCESS.2020.2989857</vt:lpwstr>
      </vt:variant>
      <vt:variant>
        <vt:lpwstr/>
      </vt:variant>
      <vt:variant>
        <vt:i4>4063238</vt:i4>
      </vt:variant>
      <vt:variant>
        <vt:i4>0</vt:i4>
      </vt:variant>
      <vt:variant>
        <vt:i4>0</vt:i4>
      </vt:variant>
      <vt:variant>
        <vt:i4>5</vt:i4>
      </vt:variant>
      <vt:variant>
        <vt:lpwstr>mailto:pvkishanrao@gmail.com1,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dc:creator>
  <cp:keywords/>
  <cp:lastModifiedBy>Sahil</cp:lastModifiedBy>
  <cp:revision>2</cp:revision>
  <dcterms:created xsi:type="dcterms:W3CDTF">2025-08-27T13:34:00Z</dcterms:created>
  <dcterms:modified xsi:type="dcterms:W3CDTF">2025-08-27T13:34:00Z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37C17E7542804F3090D3FB6780427DE1_13</vt:lpwstr>
  </property>
</Properties>
</file>